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9C3B2E" w:rsidTr="0085017D">
        <w:trPr>
          <w:trHeight w:val="465"/>
        </w:trPr>
        <w:tc>
          <w:tcPr>
            <w:tcW w:w="9464" w:type="dxa"/>
            <w:shd w:val="clear" w:color="auto" w:fill="FDE9D9"/>
          </w:tcPr>
          <w:p w:rsidR="00627D75" w:rsidRPr="009C3B2E" w:rsidRDefault="002715B4" w:rsidP="002715B4">
            <w:pPr>
              <w:pStyle w:val="Nzev"/>
              <w:spacing w:before="120" w:after="120" w:line="240" w:lineRule="auto"/>
              <w:rPr>
                <w:rFonts w:ascii="Arial" w:hAnsi="Arial" w:cs="Arial"/>
                <w:sz w:val="20"/>
                <w:szCs w:val="20"/>
              </w:rPr>
            </w:pPr>
            <w:r w:rsidRPr="009C3B2E">
              <w:rPr>
                <w:rFonts w:ascii="Arial" w:hAnsi="Arial" w:cs="Arial"/>
                <w:sz w:val="20"/>
                <w:szCs w:val="20"/>
                <w:lang w:val="cs-CZ"/>
              </w:rPr>
              <w:t>Technické podmínky</w:t>
            </w:r>
          </w:p>
        </w:tc>
      </w:tr>
    </w:tbl>
    <w:p w:rsidR="0034703B" w:rsidRPr="009C3B2E" w:rsidRDefault="0034703B" w:rsidP="007E6FEB">
      <w:pPr>
        <w:tabs>
          <w:tab w:val="left" w:pos="993"/>
        </w:tabs>
        <w:spacing w:before="240" w:after="120"/>
        <w:jc w:val="both"/>
        <w:rPr>
          <w:rFonts w:ascii="Arial" w:hAnsi="Arial" w:cs="Arial"/>
          <w:b/>
          <w:sz w:val="20"/>
          <w:szCs w:val="20"/>
          <w:u w:val="single"/>
        </w:rPr>
      </w:pPr>
    </w:p>
    <w:p w:rsidR="005E65B7" w:rsidRPr="009C3B2E" w:rsidRDefault="005E65B7" w:rsidP="005E65B7">
      <w:pPr>
        <w:jc w:val="both"/>
        <w:rPr>
          <w:rFonts w:ascii="Arial" w:hAnsi="Arial" w:cs="Arial"/>
          <w:b/>
          <w:sz w:val="20"/>
          <w:szCs w:val="20"/>
          <w:u w:val="single"/>
        </w:rPr>
      </w:pPr>
    </w:p>
    <w:p w:rsidR="009C3B2E" w:rsidRPr="009C3B2E" w:rsidRDefault="009C3B2E" w:rsidP="009C3B2E">
      <w:pPr>
        <w:overflowPunct w:val="0"/>
        <w:autoSpaceDE w:val="0"/>
        <w:autoSpaceDN w:val="0"/>
        <w:adjustRightInd w:val="0"/>
        <w:spacing w:before="120" w:after="120"/>
        <w:jc w:val="both"/>
        <w:textAlignment w:val="baseline"/>
        <w:rPr>
          <w:rFonts w:ascii="Arial" w:hAnsi="Arial" w:cs="Arial"/>
          <w:b/>
          <w:sz w:val="20"/>
          <w:szCs w:val="20"/>
          <w:u w:val="single"/>
        </w:rPr>
      </w:pPr>
      <w:r w:rsidRPr="009C3B2E">
        <w:rPr>
          <w:rFonts w:ascii="Arial" w:hAnsi="Arial" w:cs="Arial"/>
          <w:b/>
          <w:sz w:val="20"/>
          <w:szCs w:val="20"/>
          <w:u w:val="single"/>
        </w:rPr>
        <w:t xml:space="preserve">Název akce: "III/40614 Mrákotín – rozšíření hráze rybníku </w:t>
      </w:r>
      <w:proofErr w:type="spellStart"/>
      <w:r w:rsidRPr="009C3B2E">
        <w:rPr>
          <w:rFonts w:ascii="Arial" w:hAnsi="Arial" w:cs="Arial"/>
          <w:b/>
          <w:sz w:val="20"/>
          <w:szCs w:val="20"/>
          <w:u w:val="single"/>
        </w:rPr>
        <w:t>Řibřid</w:t>
      </w:r>
      <w:proofErr w:type="spellEnd"/>
      <w:r w:rsidRPr="009C3B2E">
        <w:rPr>
          <w:rFonts w:ascii="Arial" w:hAnsi="Arial" w:cs="Arial"/>
          <w:b/>
          <w:sz w:val="20"/>
          <w:szCs w:val="20"/>
          <w:u w:val="single"/>
        </w:rPr>
        <w:t>"</w:t>
      </w:r>
    </w:p>
    <w:p w:rsidR="009C3B2E" w:rsidRPr="009C3B2E" w:rsidRDefault="009C3B2E" w:rsidP="009C3B2E">
      <w:pPr>
        <w:overflowPunct w:val="0"/>
        <w:autoSpaceDE w:val="0"/>
        <w:autoSpaceDN w:val="0"/>
        <w:adjustRightInd w:val="0"/>
        <w:spacing w:before="120" w:after="120" w:line="240" w:lineRule="auto"/>
        <w:jc w:val="both"/>
        <w:textAlignment w:val="baseline"/>
        <w:rPr>
          <w:rFonts w:ascii="Arial" w:eastAsia="Times New Roman" w:hAnsi="Arial" w:cs="Arial"/>
          <w:bCs/>
          <w:sz w:val="20"/>
          <w:szCs w:val="20"/>
          <w:lang w:eastAsia="cs-CZ"/>
        </w:rPr>
      </w:pPr>
      <w:r w:rsidRPr="009C3B2E">
        <w:rPr>
          <w:rFonts w:ascii="Arial" w:eastAsia="Times New Roman" w:hAnsi="Arial" w:cs="Arial"/>
          <w:bCs/>
          <w:sz w:val="20"/>
          <w:szCs w:val="20"/>
          <w:lang w:eastAsia="cs-CZ"/>
        </w:rPr>
        <w:t>Předmětem plnění je:</w:t>
      </w:r>
    </w:p>
    <w:p w:rsidR="009C3B2E" w:rsidRPr="009C3B2E" w:rsidRDefault="009C3B2E" w:rsidP="009C3B2E">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C3B2E">
        <w:rPr>
          <w:rFonts w:ascii="Arial" w:hAnsi="Arial" w:cs="Arial"/>
          <w:bCs/>
          <w:sz w:val="20"/>
          <w:szCs w:val="20"/>
        </w:rPr>
        <w:t>Vypracování projektové dokumentace pro povolení záměru DPS/DPZ</w:t>
      </w:r>
    </w:p>
    <w:p w:rsidR="009C3B2E" w:rsidRPr="009C3B2E" w:rsidRDefault="009C3B2E" w:rsidP="009C3B2E">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C3B2E">
        <w:rPr>
          <w:rFonts w:ascii="Arial" w:hAnsi="Arial" w:cs="Arial"/>
          <w:bCs/>
          <w:sz w:val="20"/>
          <w:szCs w:val="20"/>
        </w:rPr>
        <w:t>Zajištění všech povolení potřebných k vlastní realizaci kompletních stavebních prací a zajištění kladných vyjádření a stanovisek všech dotčených orgánů pro podání řádných žádostí o vydání povolení záměru k příslušnému stavebnímu úřadu</w:t>
      </w:r>
    </w:p>
    <w:p w:rsidR="009C3B2E" w:rsidRPr="009C3B2E" w:rsidRDefault="009C3B2E" w:rsidP="009C3B2E">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C3B2E">
        <w:rPr>
          <w:rFonts w:ascii="Arial" w:hAnsi="Arial" w:cs="Arial"/>
          <w:bCs/>
          <w:sz w:val="20"/>
          <w:szCs w:val="20"/>
        </w:rPr>
        <w:t>Zajištění povolení záměru</w:t>
      </w:r>
    </w:p>
    <w:p w:rsidR="009C3B2E" w:rsidRPr="009C3B2E" w:rsidRDefault="009C3B2E" w:rsidP="009C3B2E">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9C3B2E">
        <w:rPr>
          <w:rFonts w:ascii="Arial" w:hAnsi="Arial" w:cs="Arial"/>
          <w:bCs/>
          <w:sz w:val="20"/>
          <w:szCs w:val="20"/>
        </w:rPr>
        <w:t>Vypracování projektové dokumentace pro provádění stavby (PDPS) včetně oceněného a neoceněného soupisu prací</w:t>
      </w:r>
    </w:p>
    <w:p w:rsidR="009C3B2E" w:rsidRPr="009C3B2E" w:rsidRDefault="009C3B2E" w:rsidP="009C3B2E">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9C3B2E">
        <w:rPr>
          <w:rFonts w:ascii="Arial" w:hAnsi="Arial" w:cs="Arial"/>
          <w:bCs/>
          <w:sz w:val="20"/>
          <w:szCs w:val="20"/>
        </w:rPr>
        <w:t>Výkon dozoru projektanta při realizaci stavby</w:t>
      </w:r>
    </w:p>
    <w:p w:rsidR="009C3B2E" w:rsidRPr="009C3B2E" w:rsidRDefault="009C3B2E" w:rsidP="009C3B2E">
      <w:pPr>
        <w:pStyle w:val="Odstavecseseznamem"/>
        <w:overflowPunct w:val="0"/>
        <w:autoSpaceDE w:val="0"/>
        <w:autoSpaceDN w:val="0"/>
        <w:adjustRightInd w:val="0"/>
        <w:spacing w:before="120" w:after="120" w:line="240" w:lineRule="auto"/>
        <w:jc w:val="both"/>
        <w:textAlignment w:val="baseline"/>
        <w:rPr>
          <w:rFonts w:ascii="Arial" w:hAnsi="Arial" w:cs="Arial"/>
          <w:bCs/>
          <w:sz w:val="20"/>
          <w:szCs w:val="20"/>
        </w:rPr>
      </w:pPr>
    </w:p>
    <w:p w:rsidR="009C3B2E" w:rsidRPr="009C3B2E" w:rsidRDefault="009C3B2E" w:rsidP="009C3B2E">
      <w:pPr>
        <w:overflowPunct w:val="0"/>
        <w:autoSpaceDE w:val="0"/>
        <w:autoSpaceDN w:val="0"/>
        <w:adjustRightInd w:val="0"/>
        <w:spacing w:before="120" w:after="120" w:line="240" w:lineRule="auto"/>
        <w:jc w:val="both"/>
        <w:textAlignment w:val="baseline"/>
        <w:rPr>
          <w:rFonts w:ascii="Arial" w:hAnsi="Arial" w:cs="Arial"/>
          <w:bCs/>
          <w:sz w:val="20"/>
          <w:szCs w:val="20"/>
        </w:rPr>
      </w:pPr>
      <w:r w:rsidRPr="009C3B2E">
        <w:rPr>
          <w:rFonts w:ascii="Arial" w:hAnsi="Arial" w:cs="Arial"/>
          <w:bCs/>
          <w:sz w:val="20"/>
          <w:szCs w:val="20"/>
        </w:rPr>
        <w:t>K řešenému úseku je zpracováno geodetické zaměření a je součástí zadávacích podkladů.</w:t>
      </w:r>
    </w:p>
    <w:p w:rsidR="009C3B2E" w:rsidRPr="009C3B2E" w:rsidRDefault="009C3B2E" w:rsidP="009C3B2E">
      <w:pPr>
        <w:autoSpaceDE w:val="0"/>
        <w:autoSpaceDN w:val="0"/>
        <w:adjustRightInd w:val="0"/>
        <w:spacing w:after="0" w:line="240" w:lineRule="auto"/>
        <w:jc w:val="both"/>
        <w:rPr>
          <w:rFonts w:ascii="Arial" w:hAnsi="Arial" w:cs="Arial"/>
          <w:sz w:val="20"/>
          <w:szCs w:val="20"/>
        </w:rPr>
      </w:pPr>
      <w:r w:rsidRPr="009C3B2E">
        <w:rPr>
          <w:rFonts w:ascii="Arial" w:hAnsi="Arial" w:cs="Arial"/>
          <w:sz w:val="20"/>
          <w:szCs w:val="20"/>
        </w:rPr>
        <w:t xml:space="preserve">Stávající komunikace č. 40614 vede ve staničení km cca 0,300 – 0,600 </w:t>
      </w:r>
      <w:r w:rsidR="00F154AE">
        <w:rPr>
          <w:rFonts w:ascii="Arial" w:hAnsi="Arial" w:cs="Arial"/>
          <w:sz w:val="20"/>
          <w:szCs w:val="20"/>
        </w:rPr>
        <w:t xml:space="preserve">přes hráz rybníka </w:t>
      </w:r>
      <w:proofErr w:type="spellStart"/>
      <w:r w:rsidR="00F154AE">
        <w:rPr>
          <w:rFonts w:ascii="Arial" w:hAnsi="Arial" w:cs="Arial"/>
          <w:sz w:val="20"/>
          <w:szCs w:val="20"/>
        </w:rPr>
        <w:t>Řibřid</w:t>
      </w:r>
      <w:proofErr w:type="spellEnd"/>
      <w:r w:rsidR="00F154AE">
        <w:rPr>
          <w:rFonts w:ascii="Arial" w:hAnsi="Arial" w:cs="Arial"/>
          <w:sz w:val="20"/>
          <w:szCs w:val="20"/>
        </w:rPr>
        <w:t xml:space="preserve"> v </w:t>
      </w:r>
      <w:proofErr w:type="spellStart"/>
      <w:r w:rsidR="00F154AE">
        <w:rPr>
          <w:rFonts w:ascii="Arial" w:hAnsi="Arial" w:cs="Arial"/>
          <w:sz w:val="20"/>
          <w:szCs w:val="20"/>
        </w:rPr>
        <w:t>extra</w:t>
      </w:r>
      <w:r w:rsidRPr="009C3B2E">
        <w:rPr>
          <w:rFonts w:ascii="Arial" w:hAnsi="Arial" w:cs="Arial"/>
          <w:sz w:val="20"/>
          <w:szCs w:val="20"/>
        </w:rPr>
        <w:t>vilánu</w:t>
      </w:r>
      <w:proofErr w:type="spellEnd"/>
      <w:r w:rsidRPr="009C3B2E">
        <w:rPr>
          <w:rFonts w:ascii="Arial" w:hAnsi="Arial" w:cs="Arial"/>
          <w:sz w:val="20"/>
          <w:szCs w:val="20"/>
        </w:rPr>
        <w:t xml:space="preserve"> obce Mrákotín. Vozovka na hrázi je úzká a neumožňuje bezpečné vyhýbání vozidel, po hrázi je mimo jiné vedena veřejná linková autobusová doprava. Při vyhýbání dochází k nadměrnému zatěžování krajů vozovky. V roce 2023 po havárii hráze při podemletí v místě vyústění výpustního potrubí rybníku došlo k překopání hráze a výměně výpustního potrubí. Při této příležitosti byl proveden průzkum geologie hráze. </w:t>
      </w:r>
    </w:p>
    <w:p w:rsidR="009C3B2E" w:rsidRPr="009C3B2E" w:rsidRDefault="009C3B2E" w:rsidP="009C3B2E">
      <w:pPr>
        <w:autoSpaceDE w:val="0"/>
        <w:autoSpaceDN w:val="0"/>
        <w:adjustRightInd w:val="0"/>
        <w:spacing w:after="0" w:line="240" w:lineRule="auto"/>
        <w:jc w:val="both"/>
        <w:rPr>
          <w:rFonts w:ascii="Arial" w:hAnsi="Arial" w:cs="Arial"/>
          <w:sz w:val="20"/>
          <w:szCs w:val="20"/>
        </w:rPr>
      </w:pPr>
    </w:p>
    <w:p w:rsidR="009C3B2E" w:rsidRPr="009C3B2E" w:rsidRDefault="009C3B2E" w:rsidP="009C3B2E">
      <w:pPr>
        <w:autoSpaceDE w:val="0"/>
        <w:autoSpaceDN w:val="0"/>
        <w:adjustRightInd w:val="0"/>
        <w:spacing w:after="0" w:line="240" w:lineRule="auto"/>
        <w:jc w:val="both"/>
        <w:rPr>
          <w:rFonts w:ascii="Arial" w:hAnsi="Arial" w:cs="Arial"/>
          <w:sz w:val="20"/>
          <w:szCs w:val="20"/>
        </w:rPr>
      </w:pPr>
      <w:r w:rsidRPr="009C3B2E">
        <w:rPr>
          <w:rFonts w:ascii="Arial" w:hAnsi="Arial" w:cs="Arial"/>
          <w:sz w:val="20"/>
          <w:szCs w:val="20"/>
        </w:rPr>
        <w:t>Vlastníkem i hospodářem na vodní ploše je investor stavby Rybářství Vysočina s.</w:t>
      </w:r>
      <w:proofErr w:type="gramStart"/>
      <w:r w:rsidRPr="009C3B2E">
        <w:rPr>
          <w:rFonts w:ascii="Arial" w:hAnsi="Arial" w:cs="Arial"/>
          <w:sz w:val="20"/>
          <w:szCs w:val="20"/>
        </w:rPr>
        <w:t>r.o..</w:t>
      </w:r>
      <w:proofErr w:type="gramEnd"/>
      <w:r w:rsidRPr="009C3B2E">
        <w:rPr>
          <w:rFonts w:ascii="Arial" w:hAnsi="Arial" w:cs="Arial"/>
          <w:sz w:val="20"/>
          <w:szCs w:val="20"/>
        </w:rPr>
        <w:t xml:space="preserve"> Pozemky stavby jsou v majetku vícero vlastníků. Správcem toku jsou Lesy ČR, s. p., přímou správu na toku vykonává pracoviště Brno. Místní samosprávu vykonává ÚM Mrákotín, státní vodohospodářskou správou v místě je pověřen Městský úřad Telč, odbor životního prostředí.</w:t>
      </w:r>
    </w:p>
    <w:p w:rsidR="009C3B2E" w:rsidRPr="009C3B2E" w:rsidRDefault="009C3B2E" w:rsidP="009C3B2E">
      <w:pPr>
        <w:autoSpaceDE w:val="0"/>
        <w:autoSpaceDN w:val="0"/>
        <w:adjustRightInd w:val="0"/>
        <w:spacing w:after="0" w:line="240" w:lineRule="auto"/>
        <w:jc w:val="both"/>
        <w:rPr>
          <w:rFonts w:ascii="Arial" w:hAnsi="Arial" w:cs="Arial"/>
          <w:sz w:val="20"/>
          <w:szCs w:val="20"/>
          <w:highlight w:val="yellow"/>
        </w:rPr>
      </w:pPr>
      <w:r w:rsidRPr="009C3B2E">
        <w:rPr>
          <w:rFonts w:ascii="Arial" w:hAnsi="Arial" w:cs="Arial"/>
          <w:sz w:val="20"/>
          <w:szCs w:val="20"/>
        </w:rPr>
        <w:t>S vlastníkem rybníku má objednatel předjednáno možné rozšíření hráze směrem do rybníku.</w:t>
      </w:r>
    </w:p>
    <w:p w:rsidR="009C3B2E" w:rsidRPr="009C3B2E" w:rsidRDefault="009C3B2E" w:rsidP="009C3B2E">
      <w:pPr>
        <w:autoSpaceDE w:val="0"/>
        <w:autoSpaceDN w:val="0"/>
        <w:adjustRightInd w:val="0"/>
        <w:spacing w:after="0" w:line="240" w:lineRule="auto"/>
        <w:jc w:val="both"/>
        <w:rPr>
          <w:rFonts w:ascii="Arial" w:hAnsi="Arial" w:cs="Arial"/>
          <w:sz w:val="20"/>
          <w:szCs w:val="20"/>
        </w:rPr>
      </w:pPr>
    </w:p>
    <w:p w:rsidR="009C3B2E" w:rsidRPr="009C3B2E" w:rsidRDefault="009C3B2E" w:rsidP="009C3B2E">
      <w:pPr>
        <w:autoSpaceDE w:val="0"/>
        <w:autoSpaceDN w:val="0"/>
        <w:adjustRightInd w:val="0"/>
        <w:spacing w:after="0" w:line="240" w:lineRule="auto"/>
        <w:jc w:val="both"/>
        <w:rPr>
          <w:rFonts w:ascii="Arial" w:hAnsi="Arial" w:cs="Arial"/>
          <w:sz w:val="20"/>
          <w:szCs w:val="20"/>
          <w:highlight w:val="yellow"/>
        </w:rPr>
      </w:pPr>
      <w:r w:rsidRPr="009C3B2E">
        <w:rPr>
          <w:rFonts w:ascii="Arial" w:hAnsi="Arial" w:cs="Arial"/>
          <w:sz w:val="20"/>
          <w:szCs w:val="20"/>
        </w:rPr>
        <w:t>Součástí projektu bude stavební objekt nového mostu ev. č. 40614-2 přes bezpečnostní přeliv, zrušení propustku ev. č. 40614-1P přes nefunkční náhon ve staničení km 0,310. Součástí projektu budou veškeré vyvolané investice na vodním díle vyvolané rozšířením komunikace na hrázi. Předpokládá se zachování požeráku, který by měl být pouze ve větším rozsahu zasypán tělesem rozšíření hráze.</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highlight w:val="yellow"/>
        </w:rPr>
      </w:pP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Šířka komunikace na hrázi bude v kategorii S 6,5.</w:t>
      </w:r>
    </w:p>
    <w:p w:rsidR="009C3B2E" w:rsidRPr="009C3B2E" w:rsidRDefault="009C3B2E" w:rsidP="009C3B2E">
      <w:pPr>
        <w:autoSpaceDE w:val="0"/>
        <w:autoSpaceDN w:val="0"/>
        <w:adjustRightInd w:val="0"/>
        <w:spacing w:after="0" w:line="240" w:lineRule="auto"/>
        <w:rPr>
          <w:rFonts w:ascii="Arial" w:hAnsi="Arial" w:cs="Arial"/>
          <w:sz w:val="20"/>
          <w:szCs w:val="20"/>
          <w:highlight w:val="yellow"/>
        </w:rPr>
      </w:pPr>
    </w:p>
    <w:p w:rsidR="009C3B2E" w:rsidRPr="009C3B2E" w:rsidRDefault="009C3B2E" w:rsidP="009C3B2E">
      <w:pPr>
        <w:jc w:val="both"/>
        <w:rPr>
          <w:rFonts w:ascii="Arial" w:hAnsi="Arial" w:cs="Arial"/>
          <w:sz w:val="20"/>
          <w:szCs w:val="20"/>
        </w:rPr>
      </w:pPr>
      <w:r w:rsidRPr="009C3B2E">
        <w:rPr>
          <w:rFonts w:ascii="Arial" w:hAnsi="Arial" w:cs="Arial"/>
          <w:sz w:val="20"/>
          <w:szCs w:val="20"/>
        </w:rPr>
        <w:t>Zadavatel předpokládá, že stavební realizace bude probíhat za úplného uzavřeného silničního provozu. Předpokládaná doba realizace stavebních prací - rok 2027.</w:t>
      </w:r>
    </w:p>
    <w:p w:rsidR="009C3B2E" w:rsidRPr="009C3B2E" w:rsidRDefault="009C3B2E" w:rsidP="009C3B2E">
      <w:pPr>
        <w:jc w:val="both"/>
        <w:rPr>
          <w:rFonts w:ascii="Arial" w:hAnsi="Arial" w:cs="Arial"/>
          <w:sz w:val="20"/>
          <w:szCs w:val="20"/>
        </w:rPr>
      </w:pPr>
      <w:r w:rsidRPr="009C3B2E">
        <w:rPr>
          <w:rFonts w:ascii="Arial" w:hAnsi="Arial" w:cs="Arial"/>
          <w:sz w:val="20"/>
          <w:szCs w:val="20"/>
        </w:rPr>
        <w:t>Projektové dokumentace v jednotlivých stupních budou vypracovány v rozsahu daném platnými předpisy v době zpracování a předání dokončeného předmětu plnění.</w:t>
      </w:r>
    </w:p>
    <w:p w:rsidR="009C3B2E" w:rsidRPr="009C3B2E" w:rsidRDefault="009C3B2E" w:rsidP="009C3B2E">
      <w:pPr>
        <w:spacing w:after="0" w:line="240" w:lineRule="auto"/>
        <w:rPr>
          <w:rFonts w:ascii="Arial" w:hAnsi="Arial" w:cs="Arial"/>
          <w:b/>
          <w:sz w:val="20"/>
          <w:szCs w:val="20"/>
          <w:u w:val="single"/>
        </w:rPr>
      </w:pPr>
    </w:p>
    <w:p w:rsidR="009C3B2E" w:rsidRPr="009C3B2E" w:rsidRDefault="009C3B2E" w:rsidP="009C3B2E">
      <w:pPr>
        <w:spacing w:after="0" w:line="240" w:lineRule="auto"/>
        <w:rPr>
          <w:rFonts w:ascii="Arial" w:hAnsi="Arial" w:cs="Arial"/>
          <w:b/>
          <w:sz w:val="20"/>
          <w:szCs w:val="20"/>
          <w:u w:val="single"/>
        </w:rPr>
      </w:pPr>
      <w:r w:rsidRPr="009C3B2E">
        <w:rPr>
          <w:rFonts w:ascii="Arial" w:hAnsi="Arial" w:cs="Arial"/>
          <w:b/>
          <w:sz w:val="20"/>
          <w:szCs w:val="20"/>
          <w:u w:val="single"/>
        </w:rPr>
        <w:t>Technické podmínky</w:t>
      </w:r>
    </w:p>
    <w:p w:rsidR="009C3B2E" w:rsidRPr="009C3B2E" w:rsidRDefault="009C3B2E" w:rsidP="009C3B2E">
      <w:pPr>
        <w:spacing w:after="0" w:line="240" w:lineRule="auto"/>
        <w:rPr>
          <w:rFonts w:ascii="Arial" w:hAnsi="Arial" w:cs="Arial"/>
          <w:b/>
          <w:sz w:val="20"/>
          <w:szCs w:val="20"/>
          <w:u w:val="single"/>
        </w:rPr>
      </w:pPr>
    </w:p>
    <w:p w:rsidR="009C3B2E" w:rsidRPr="009C3B2E" w:rsidRDefault="009C3B2E" w:rsidP="009C3B2E">
      <w:pPr>
        <w:spacing w:after="120" w:line="240" w:lineRule="auto"/>
        <w:jc w:val="both"/>
        <w:rPr>
          <w:rFonts w:ascii="Arial" w:hAnsi="Arial" w:cs="Arial"/>
          <w:b/>
          <w:sz w:val="20"/>
          <w:szCs w:val="20"/>
          <w:u w:val="single"/>
        </w:rPr>
      </w:pPr>
      <w:r w:rsidRPr="009C3B2E">
        <w:rPr>
          <w:rFonts w:ascii="Arial" w:hAnsi="Arial" w:cs="Arial"/>
          <w:b/>
          <w:sz w:val="20"/>
          <w:szCs w:val="20"/>
          <w:u w:val="single"/>
        </w:rPr>
        <w:t>Vypracování dokumentace pro povolení záměru v souladu s § 157 odst. (2) Stavebního zákona 283/2021</w:t>
      </w:r>
    </w:p>
    <w:p w:rsidR="009C3B2E" w:rsidRPr="009C3B2E" w:rsidRDefault="009C3B2E" w:rsidP="009C3B2E">
      <w:pPr>
        <w:spacing w:after="120" w:line="240" w:lineRule="auto"/>
        <w:jc w:val="both"/>
        <w:rPr>
          <w:rFonts w:ascii="Arial" w:hAnsi="Arial" w:cs="Arial"/>
          <w:b/>
          <w:sz w:val="20"/>
          <w:szCs w:val="20"/>
        </w:rPr>
      </w:pPr>
      <w:r w:rsidRPr="009C3B2E">
        <w:rPr>
          <w:rFonts w:ascii="Arial" w:hAnsi="Arial" w:cs="Arial"/>
          <w:sz w:val="20"/>
          <w:szCs w:val="20"/>
        </w:rPr>
        <w:t xml:space="preserve">Rozsah a obsah dokumentace je stanoven Směrnicí pro dokumentaci staveb pozemních komunikací, </w:t>
      </w:r>
      <w:r w:rsidRPr="009C3B2E">
        <w:rPr>
          <w:rFonts w:ascii="Arial" w:eastAsia="Times New Roman" w:hAnsi="Arial" w:cs="Arial"/>
          <w:sz w:val="20"/>
          <w:szCs w:val="20"/>
          <w:lang w:eastAsia="cs-CZ"/>
        </w:rPr>
        <w:t xml:space="preserve">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w:t>
      </w:r>
      <w:proofErr w:type="gramStart"/>
      <w:r w:rsidRPr="009C3B2E">
        <w:rPr>
          <w:rFonts w:ascii="Arial" w:eastAsia="Times New Roman" w:hAnsi="Arial" w:cs="Arial"/>
          <w:sz w:val="20"/>
          <w:szCs w:val="20"/>
          <w:lang w:eastAsia="cs-CZ"/>
        </w:rPr>
        <w:t>zákon,  Zákonem</w:t>
      </w:r>
      <w:proofErr w:type="gramEnd"/>
      <w:r w:rsidRPr="009C3B2E">
        <w:rPr>
          <w:rFonts w:ascii="Arial" w:eastAsia="Times New Roman" w:hAnsi="Arial" w:cs="Arial"/>
          <w:sz w:val="20"/>
          <w:szCs w:val="20"/>
          <w:lang w:eastAsia="cs-CZ"/>
        </w:rPr>
        <w:t xml:space="preserve"> č. 152/2023 </w:t>
      </w:r>
      <w:r w:rsidRPr="009C3B2E">
        <w:rPr>
          <w:rFonts w:ascii="Arial" w:eastAsia="Times New Roman" w:hAnsi="Arial" w:cs="Arial"/>
          <w:sz w:val="20"/>
          <w:szCs w:val="20"/>
          <w:lang w:eastAsia="cs-CZ"/>
        </w:rPr>
        <w:lastRenderedPageBreak/>
        <w:t>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komunikací,  schválené Ministerstvem dopravy, Odborem liniových staveb a silničního správního úřadu pod č. j. MD-43101/2023-930/2 ze dne 19. 12. 2023 s účinností od 1. 1. 2024 z 12/2023 a Technické kvalitativní podmínky staveb pozemních komunikací,</w:t>
      </w:r>
      <w:r w:rsidRPr="009C3B2E">
        <w:rPr>
          <w:rFonts w:ascii="Arial" w:hAnsi="Arial" w:cs="Arial"/>
          <w:sz w:val="20"/>
          <w:szCs w:val="20"/>
        </w:rPr>
        <w:t xml:space="preserve"> </w:t>
      </w:r>
      <w:r w:rsidRPr="009C3B2E">
        <w:rPr>
          <w:rFonts w:ascii="Arial" w:eastAsia="Times New Roman" w:hAnsi="Arial" w:cs="Arial"/>
          <w:sz w:val="20"/>
          <w:szCs w:val="20"/>
          <w:lang w:eastAsia="cs-CZ"/>
        </w:rPr>
        <w:t xml:space="preserve">Kapitola 1 Všeobecně, Změna č. 2,  schváleno Ministerstvem dopravy, Odborem pozemních komunikací pod č. j. MD-45948/2025-940/3 v srpnu 2025 s účinností od 15. 8. 2025, Zákon č. 318/2025 </w:t>
      </w:r>
      <w:proofErr w:type="spellStart"/>
      <w:proofErr w:type="gramStart"/>
      <w:r w:rsidRPr="009C3B2E">
        <w:rPr>
          <w:rFonts w:ascii="Arial" w:eastAsia="Times New Roman" w:hAnsi="Arial" w:cs="Arial"/>
          <w:sz w:val="20"/>
          <w:szCs w:val="20"/>
          <w:lang w:eastAsia="cs-CZ"/>
        </w:rPr>
        <w:t>Sb.Zákon</w:t>
      </w:r>
      <w:proofErr w:type="spellEnd"/>
      <w:proofErr w:type="gramEnd"/>
      <w:r w:rsidRPr="009C3B2E">
        <w:rPr>
          <w:rFonts w:ascii="Arial" w:eastAsia="Times New Roman" w:hAnsi="Arial" w:cs="Arial"/>
          <w:sz w:val="20"/>
          <w:szCs w:val="20"/>
          <w:lang w:eastAsia="cs-CZ"/>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w:t>
      </w:r>
      <w:proofErr w:type="spellStart"/>
      <w:r w:rsidRPr="009C3B2E">
        <w:rPr>
          <w:rFonts w:ascii="Arial" w:eastAsia="Times New Roman" w:hAnsi="Arial" w:cs="Arial"/>
          <w:sz w:val="20"/>
          <w:szCs w:val="20"/>
          <w:lang w:eastAsia="cs-CZ"/>
        </w:rPr>
        <w:t>Sb.Nařízení</w:t>
      </w:r>
      <w:proofErr w:type="spellEnd"/>
      <w:r w:rsidRPr="009C3B2E">
        <w:rPr>
          <w:rFonts w:ascii="Arial" w:eastAsia="Times New Roman" w:hAnsi="Arial" w:cs="Arial"/>
          <w:sz w:val="20"/>
          <w:szCs w:val="20"/>
          <w:lang w:eastAsia="cs-CZ"/>
        </w:rPr>
        <w:t xml:space="preserve"> vlády, kterým se mění nařízení vlády č. 591/2006 Sb., o bližších minimálních požadavcích na bezpečnost a ochranu zdraví při práci na staveništích, ve znění nařízení vlády č. 136/2016 </w:t>
      </w:r>
      <w:proofErr w:type="spellStart"/>
      <w:r w:rsidRPr="009C3B2E">
        <w:rPr>
          <w:rFonts w:ascii="Arial" w:eastAsia="Times New Roman" w:hAnsi="Arial" w:cs="Arial"/>
          <w:sz w:val="20"/>
          <w:szCs w:val="20"/>
          <w:lang w:eastAsia="cs-CZ"/>
        </w:rPr>
        <w:t>Sb.,vše</w:t>
      </w:r>
      <w:proofErr w:type="spellEnd"/>
      <w:r w:rsidRPr="009C3B2E">
        <w:rPr>
          <w:rFonts w:ascii="Arial" w:eastAsia="Times New Roman" w:hAnsi="Arial" w:cs="Arial"/>
          <w:sz w:val="20"/>
          <w:szCs w:val="20"/>
          <w:lang w:eastAsia="cs-CZ"/>
        </w:rPr>
        <w:t xml:space="preserve"> v platném znění a bude obsahovat:</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Návrh rekonstrukce řešeného úseku rozšíření vozovky bude proveden na základě zpracovaných průzkumů. Návrh bude projednaný na vstupním výrobním výboru. Součástí dokumentace bude řešení případných přeložek inženýrských sítí a úprava konstrukce silnice v daném rozsahu.</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Geodetické zaměření předmětného území (výškopisné a polohopisné zaměření) v potřebném rozsahu rekonstrukce řešeného úseku, pokud bude pro zpracování PD nutné doplnit.</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Podrobný inženýrskogeologický, geotechnický a hydrogeologický průzkum daného území (pokud bude pro zpracování PD a vydání příslušných stanovisek a povolení nutné).</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Posouzení asfaltových směsí dle Vyhlášky č. 283/2023 Sb. Vyhláška o stanovení podmínek, při jejichž splnění jsou znovuzískaná asfaltová směs a znovuzískaný penetrační makadam vedlejším produktem nebo přestávají být odpadem.</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Zákres stavby do aktuální katastrální mapy</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Vytyčovací výkres stavby</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Situace v měřítku min. 1:500</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Zásady organizace výstavby</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proofErr w:type="gramStart"/>
      <w:r w:rsidRPr="009C3B2E">
        <w:rPr>
          <w:rFonts w:ascii="Arial" w:hAnsi="Arial" w:cs="Arial"/>
          <w:sz w:val="20"/>
          <w:szCs w:val="20"/>
        </w:rPr>
        <w:t>-      Definitivní</w:t>
      </w:r>
      <w:proofErr w:type="gramEnd"/>
      <w:r w:rsidRPr="009C3B2E">
        <w:rPr>
          <w:rFonts w:ascii="Arial" w:hAnsi="Arial" w:cs="Arial"/>
          <w:sz w:val="20"/>
          <w:szCs w:val="20"/>
        </w:rPr>
        <w:t xml:space="preserve"> dopravní značení včetně příslušných projednání</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Statický výpočet, hydrotechnický výpočet</w:t>
      </w:r>
    </w:p>
    <w:p w:rsidR="009C3B2E" w:rsidRPr="009C3B2E" w:rsidRDefault="009C3B2E" w:rsidP="009C3B2E">
      <w:pPr>
        <w:pStyle w:val="Odstavecseseznamem"/>
        <w:numPr>
          <w:ilvl w:val="0"/>
          <w:numId w:val="21"/>
        </w:numPr>
        <w:ind w:left="567" w:hanging="425"/>
        <w:jc w:val="both"/>
        <w:rPr>
          <w:rFonts w:ascii="Arial" w:hAnsi="Arial" w:cs="Arial"/>
          <w:sz w:val="20"/>
          <w:szCs w:val="20"/>
        </w:rPr>
      </w:pPr>
      <w:r w:rsidRPr="009C3B2E">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Záborový elaborát s tabulkou dotčených pozemků pro dočasný a trvalý zábor a zákres do katastrální mapy včetně sousedních pozemků.</w:t>
      </w:r>
    </w:p>
    <w:p w:rsidR="009C3B2E" w:rsidRPr="009C3B2E" w:rsidRDefault="009C3B2E" w:rsidP="009C3B2E">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9C3B2E">
        <w:rPr>
          <w:rFonts w:ascii="Arial" w:hAnsi="Arial" w:cs="Arial"/>
          <w:sz w:val="20"/>
          <w:szCs w:val="20"/>
        </w:rPr>
        <w:t>Zajištění souhlasu s vynětím pozemků trvale dotčených stavbou silnice ze ZPF a PUPFL včetně zpracování Pedologického průzkumu</w:t>
      </w:r>
    </w:p>
    <w:p w:rsidR="009C3B2E" w:rsidRPr="009C3B2E" w:rsidRDefault="009C3B2E" w:rsidP="009C3B2E">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9C3B2E">
        <w:rPr>
          <w:rFonts w:ascii="Arial" w:hAnsi="Arial" w:cs="Arial"/>
          <w:sz w:val="20"/>
          <w:szCs w:val="20"/>
        </w:rPr>
        <w:t>Zajištění souhlasu s dočasným vynětím pozemků dočasného záboru ze ZPF</w:t>
      </w:r>
    </w:p>
    <w:p w:rsidR="009C3B2E" w:rsidRPr="009C3B2E" w:rsidRDefault="009C3B2E" w:rsidP="009C3B2E">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9C3B2E">
        <w:rPr>
          <w:rFonts w:ascii="Arial" w:hAnsi="Arial" w:cs="Arial"/>
          <w:sz w:val="20"/>
          <w:szCs w:val="20"/>
        </w:rPr>
        <w:t>Součinnost zhotovitele při jednáních s vlastníky dotčených pozemků</w:t>
      </w:r>
    </w:p>
    <w:p w:rsidR="009C3B2E" w:rsidRPr="009C3B2E" w:rsidRDefault="009C3B2E" w:rsidP="009C3B2E">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9C3B2E">
        <w:rPr>
          <w:rFonts w:ascii="Arial" w:hAnsi="Arial" w:cs="Arial"/>
          <w:sz w:val="20"/>
          <w:szCs w:val="20"/>
        </w:rPr>
        <w:t>Odhad stavebních nákladů</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proofErr w:type="gramStart"/>
      <w:r w:rsidRPr="009C3B2E">
        <w:rPr>
          <w:rFonts w:ascii="Arial" w:hAnsi="Arial" w:cs="Arial"/>
          <w:sz w:val="20"/>
          <w:szCs w:val="20"/>
        </w:rPr>
        <w:t>-      Prověření</w:t>
      </w:r>
      <w:proofErr w:type="gramEnd"/>
      <w:r w:rsidRPr="009C3B2E">
        <w:rPr>
          <w:rFonts w:ascii="Arial" w:hAnsi="Arial" w:cs="Arial"/>
          <w:sz w:val="20"/>
          <w:szCs w:val="20"/>
        </w:rPr>
        <w:t xml:space="preserve"> průběhu inženýrských sítí, přeložky inženýrských sítí</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r w:rsidRPr="009C3B2E">
        <w:rPr>
          <w:rFonts w:ascii="Arial" w:hAnsi="Arial" w:cs="Arial"/>
          <w:sz w:val="20"/>
          <w:szCs w:val="20"/>
        </w:rPr>
        <w:t xml:space="preserve">- </w:t>
      </w:r>
      <w:r w:rsidRPr="009C3B2E">
        <w:rPr>
          <w:rFonts w:ascii="Arial" w:hAnsi="Arial" w:cs="Arial"/>
          <w:sz w:val="20"/>
          <w:szCs w:val="20"/>
        </w:rPr>
        <w:tab/>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proofErr w:type="gramStart"/>
      <w:r w:rsidRPr="009C3B2E">
        <w:rPr>
          <w:rFonts w:ascii="Arial" w:hAnsi="Arial" w:cs="Arial"/>
          <w:sz w:val="20"/>
          <w:szCs w:val="20"/>
        </w:rPr>
        <w:t>-      Vyřešení</w:t>
      </w:r>
      <w:proofErr w:type="gramEnd"/>
      <w:r w:rsidRPr="009C3B2E">
        <w:rPr>
          <w:rFonts w:ascii="Arial" w:hAnsi="Arial" w:cs="Arial"/>
          <w:sz w:val="20"/>
          <w:szCs w:val="20"/>
        </w:rPr>
        <w:t xml:space="preserve"> nakládání s odpady dle nového Zákona č. 541/2020 Sb. a dle nové          </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r w:rsidRPr="009C3B2E">
        <w:rPr>
          <w:rFonts w:ascii="Arial" w:hAnsi="Arial" w:cs="Arial"/>
          <w:sz w:val="20"/>
          <w:szCs w:val="20"/>
        </w:rPr>
        <w:t xml:space="preserve">       Vyhlášky č. 283/2023 Sb. - Vyhláška o stanovení podmínek, při jejichž splnění jsou </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r w:rsidRPr="009C3B2E">
        <w:rPr>
          <w:rFonts w:ascii="Arial" w:hAnsi="Arial" w:cs="Arial"/>
          <w:sz w:val="20"/>
          <w:szCs w:val="20"/>
        </w:rPr>
        <w:t xml:space="preserve">       znovuzískaná asfaltová směs a znovuzískaný penetrační makadam vedlejším produktem </w:t>
      </w:r>
    </w:p>
    <w:p w:rsidR="009C3B2E" w:rsidRPr="009C3B2E" w:rsidRDefault="009C3B2E" w:rsidP="009C3B2E">
      <w:pPr>
        <w:overflowPunct w:val="0"/>
        <w:autoSpaceDE w:val="0"/>
        <w:autoSpaceDN w:val="0"/>
        <w:adjustRightInd w:val="0"/>
        <w:spacing w:after="0"/>
        <w:ind w:left="142"/>
        <w:jc w:val="both"/>
        <w:textAlignment w:val="baseline"/>
        <w:rPr>
          <w:rFonts w:ascii="Arial" w:hAnsi="Arial" w:cs="Arial"/>
          <w:sz w:val="20"/>
          <w:szCs w:val="20"/>
        </w:rPr>
      </w:pPr>
      <w:r w:rsidRPr="009C3B2E">
        <w:rPr>
          <w:rFonts w:ascii="Arial" w:hAnsi="Arial" w:cs="Arial"/>
          <w:sz w:val="20"/>
          <w:szCs w:val="20"/>
        </w:rPr>
        <w:lastRenderedPageBreak/>
        <w:t xml:space="preserve">       nebo přestávají být odpadem</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w:t>
      </w:r>
      <w:proofErr w:type="gramStart"/>
      <w:r w:rsidRPr="009C3B2E">
        <w:rPr>
          <w:rFonts w:ascii="Arial" w:hAnsi="Arial" w:cs="Arial"/>
          <w:sz w:val="20"/>
          <w:szCs w:val="20"/>
        </w:rPr>
        <w:t>-     Zajištění</w:t>
      </w:r>
      <w:proofErr w:type="gramEnd"/>
      <w:r w:rsidRPr="009C3B2E">
        <w:rPr>
          <w:rFonts w:ascii="Arial" w:hAnsi="Arial" w:cs="Arial"/>
          <w:sz w:val="20"/>
          <w:szCs w:val="20"/>
        </w:rPr>
        <w:t xml:space="preserve"> projednání, potřebných kladných vyjádření a souhlasných stanovisek všech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orgánů státní správy a samosprávy, organizací a správců dotčených inženýrských sítí pro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vydání povolení záměru stavby, vč. případného následného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zapracování změn do projektové dokumentace</w:t>
      </w:r>
    </w:p>
    <w:p w:rsidR="009C3B2E" w:rsidRPr="009C3B2E" w:rsidRDefault="009C3B2E" w:rsidP="009C3B2E">
      <w:pPr>
        <w:numPr>
          <w:ilvl w:val="0"/>
          <w:numId w:val="21"/>
        </w:numPr>
        <w:tabs>
          <w:tab w:val="num" w:pos="-1560"/>
        </w:tabs>
        <w:spacing w:after="0"/>
        <w:contextualSpacing/>
        <w:jc w:val="both"/>
        <w:rPr>
          <w:rFonts w:ascii="Arial" w:eastAsia="Times New Roman" w:hAnsi="Arial" w:cs="Arial"/>
          <w:bCs/>
          <w:sz w:val="20"/>
          <w:szCs w:val="20"/>
          <w:lang w:eastAsia="cs-CZ"/>
        </w:rPr>
      </w:pPr>
      <w:r w:rsidRPr="009C3B2E">
        <w:rPr>
          <w:rFonts w:ascii="Arial" w:eastAsia="Times New Roman" w:hAnsi="Arial" w:cs="Arial"/>
          <w:bCs/>
          <w:sz w:val="20"/>
          <w:szCs w:val="20"/>
          <w:lang w:eastAsia="cs-CZ"/>
        </w:rPr>
        <w:t xml:space="preserve">Zpracování žádosti o vydání povolení záměru, včetně všech požadovaných příloh, vyjádření a stanovisek a podání řádné žádostí k příslušným stavebním úřadům dle jednotlivých stavebních objektů a příslušnosti k úřadu, který stavební objekty povoluje. </w:t>
      </w:r>
    </w:p>
    <w:p w:rsidR="009C3B2E" w:rsidRPr="009C3B2E" w:rsidRDefault="009C3B2E" w:rsidP="009C3B2E">
      <w:pPr>
        <w:numPr>
          <w:ilvl w:val="0"/>
          <w:numId w:val="21"/>
        </w:numPr>
        <w:tabs>
          <w:tab w:val="num" w:pos="-1560"/>
        </w:tabs>
        <w:spacing w:after="0"/>
        <w:contextualSpacing/>
        <w:jc w:val="both"/>
        <w:rPr>
          <w:rFonts w:ascii="Arial" w:eastAsia="Times New Roman" w:hAnsi="Arial" w:cs="Arial"/>
          <w:bCs/>
          <w:sz w:val="20"/>
          <w:szCs w:val="20"/>
          <w:lang w:eastAsia="cs-CZ"/>
        </w:rPr>
      </w:pPr>
      <w:r w:rsidRPr="009C3B2E">
        <w:rPr>
          <w:rFonts w:ascii="Arial" w:eastAsia="Times New Roman" w:hAnsi="Arial" w:cs="Arial"/>
          <w:bCs/>
          <w:sz w:val="20"/>
          <w:szCs w:val="20"/>
          <w:lang w:eastAsia="cs-CZ"/>
        </w:rPr>
        <w:t>Před podáním žádosti na příslušný stavební úřad, je zhotovitel povinen odsouhlasit si tuto žádost včetně všech příloh se zástupci objednatele.</w:t>
      </w:r>
    </w:p>
    <w:p w:rsidR="009C3B2E" w:rsidRPr="009C3B2E" w:rsidRDefault="009C3B2E" w:rsidP="009C3B2E">
      <w:pPr>
        <w:numPr>
          <w:ilvl w:val="0"/>
          <w:numId w:val="21"/>
        </w:numPr>
        <w:spacing w:after="120"/>
        <w:ind w:left="567" w:hanging="425"/>
        <w:contextualSpacing/>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Podání žádosti o povolení stavebního záměru, zajištění vydání pro povolení záměru včetně potřebné inženýrské činnosti (např. dořešení změn PD v průběhu řízení o povolení záměru), získání doložky nabytí právní moci Povolení záměru</w:t>
      </w:r>
    </w:p>
    <w:p w:rsidR="009C3B2E" w:rsidRPr="009C3B2E" w:rsidRDefault="009C3B2E" w:rsidP="009C3B2E">
      <w:pPr>
        <w:numPr>
          <w:ilvl w:val="0"/>
          <w:numId w:val="21"/>
        </w:numPr>
        <w:spacing w:after="120"/>
        <w:ind w:left="567" w:hanging="425"/>
        <w:contextualSpacing/>
        <w:jc w:val="both"/>
        <w:rPr>
          <w:rFonts w:ascii="Arial" w:eastAsia="Times New Roman" w:hAnsi="Arial" w:cs="Arial"/>
          <w:sz w:val="20"/>
          <w:szCs w:val="20"/>
          <w:lang w:eastAsia="cs-CZ"/>
        </w:rPr>
      </w:pPr>
      <w:r w:rsidRPr="009C3B2E">
        <w:rPr>
          <w:rFonts w:ascii="Arial" w:eastAsia="Times New Roman" w:hAnsi="Arial" w:cs="Arial"/>
          <w:bCs/>
          <w:sz w:val="20"/>
          <w:szCs w:val="20"/>
          <w:u w:val="single"/>
          <w:lang w:eastAsia="cs-CZ"/>
        </w:rPr>
        <w:t xml:space="preserve">Po vydání Pravomocného povolení záměru bude předáno objednateli: </w:t>
      </w:r>
    </w:p>
    <w:p w:rsidR="009C3B2E" w:rsidRPr="009C3B2E" w:rsidRDefault="009C3B2E" w:rsidP="009C3B2E">
      <w:pPr>
        <w:spacing w:after="120"/>
        <w:ind w:left="567"/>
        <w:contextualSpacing/>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1 x originál každého povolení stavebního záměru v písemné podobě s vyznačením nabytí právní moci + projektová dokumentace pro povolení stavebního záměru (DPS/DPZ) ověřená stavebním úřadem.</w:t>
      </w:r>
    </w:p>
    <w:p w:rsidR="009C3B2E" w:rsidRPr="009C3B2E" w:rsidRDefault="009C3B2E" w:rsidP="009C3B2E">
      <w:pPr>
        <w:spacing w:after="120"/>
        <w:ind w:left="567"/>
        <w:contextualSpacing/>
        <w:jc w:val="both"/>
        <w:rPr>
          <w:rFonts w:ascii="Arial" w:eastAsia="Times New Roman" w:hAnsi="Arial" w:cs="Arial"/>
          <w:sz w:val="20"/>
          <w:szCs w:val="20"/>
          <w:lang w:eastAsia="cs-CZ"/>
        </w:rPr>
      </w:pPr>
    </w:p>
    <w:p w:rsidR="009C3B2E" w:rsidRPr="009C3B2E" w:rsidRDefault="009C3B2E" w:rsidP="009C3B2E">
      <w:pPr>
        <w:spacing w:after="120"/>
        <w:jc w:val="both"/>
        <w:rPr>
          <w:rFonts w:ascii="Arial" w:hAnsi="Arial" w:cs="Arial"/>
          <w:sz w:val="20"/>
          <w:szCs w:val="20"/>
        </w:rPr>
      </w:pPr>
      <w:r w:rsidRPr="009C3B2E">
        <w:rPr>
          <w:rFonts w:ascii="Arial" w:hAnsi="Arial" w:cs="Arial"/>
          <w:sz w:val="20"/>
          <w:szCs w:val="20"/>
        </w:rPr>
        <w:t xml:space="preserve">Majetkoprávní příprava, včetně zajištění příslušných smluv není součástí předmětu plnění a bude realizována zadavatelem. Zhotovitel zajistí pouze souhlasy dotčených vlastníků pozemků na situační výkres stavby v souladu s §184 a §187, odst.2, </w:t>
      </w:r>
      <w:proofErr w:type="spellStart"/>
      <w:proofErr w:type="gramStart"/>
      <w:r w:rsidRPr="009C3B2E">
        <w:rPr>
          <w:rFonts w:ascii="Arial" w:hAnsi="Arial" w:cs="Arial"/>
          <w:sz w:val="20"/>
          <w:szCs w:val="20"/>
        </w:rPr>
        <w:t>písm.c</w:t>
      </w:r>
      <w:proofErr w:type="spellEnd"/>
      <w:r w:rsidRPr="009C3B2E">
        <w:rPr>
          <w:rFonts w:ascii="Arial" w:hAnsi="Arial" w:cs="Arial"/>
          <w:sz w:val="20"/>
          <w:szCs w:val="20"/>
        </w:rPr>
        <w:t>) zákona</w:t>
      </w:r>
      <w:proofErr w:type="gramEnd"/>
      <w:r w:rsidRPr="009C3B2E">
        <w:rPr>
          <w:rFonts w:ascii="Arial" w:hAnsi="Arial" w:cs="Arial"/>
          <w:sz w:val="20"/>
          <w:szCs w:val="20"/>
        </w:rPr>
        <w:t xml:space="preserve"> 283/2021 </w:t>
      </w:r>
      <w:proofErr w:type="spellStart"/>
      <w:r w:rsidRPr="009C3B2E">
        <w:rPr>
          <w:rFonts w:ascii="Arial" w:hAnsi="Arial" w:cs="Arial"/>
          <w:sz w:val="20"/>
          <w:szCs w:val="20"/>
        </w:rPr>
        <w:t>Sb</w:t>
      </w:r>
      <w:proofErr w:type="spellEnd"/>
      <w:r w:rsidRPr="009C3B2E">
        <w:rPr>
          <w:rFonts w:ascii="Arial" w:hAnsi="Arial" w:cs="Arial"/>
          <w:sz w:val="20"/>
          <w:szCs w:val="20"/>
        </w:rPr>
        <w:t>,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9C3B2E" w:rsidRPr="009C3B2E" w:rsidRDefault="009C3B2E" w:rsidP="009C3B2E">
      <w:pPr>
        <w:spacing w:after="120"/>
        <w:jc w:val="both"/>
        <w:rPr>
          <w:rFonts w:ascii="Arial" w:hAnsi="Arial" w:cs="Arial"/>
          <w:sz w:val="20"/>
          <w:szCs w:val="20"/>
        </w:rPr>
      </w:pPr>
      <w:r w:rsidRPr="009C3B2E">
        <w:rPr>
          <w:rFonts w:ascii="Arial" w:hAnsi="Arial" w:cs="Arial"/>
          <w:sz w:val="20"/>
          <w:szCs w:val="20"/>
        </w:rPr>
        <w:t xml:space="preserve">Dokumentace bude projednána na výrobních výborech (minimálně 2x) za účasti všech orgánů, organizací a vlastníků pozemků, dotčených touto stavbou. Před dokončením a odevzdáním každého stupně projektové dokumentace (tj. DPS/DPZ a PDPS) budou svolány tzv. </w:t>
      </w:r>
      <w:proofErr w:type="spellStart"/>
      <w:r w:rsidRPr="009C3B2E">
        <w:rPr>
          <w:rFonts w:ascii="Arial" w:hAnsi="Arial" w:cs="Arial"/>
          <w:sz w:val="20"/>
          <w:szCs w:val="20"/>
        </w:rPr>
        <w:t>technicko-dokumentační</w:t>
      </w:r>
      <w:proofErr w:type="spellEnd"/>
      <w:r w:rsidRPr="009C3B2E">
        <w:rPr>
          <w:rFonts w:ascii="Arial" w:hAnsi="Arial" w:cs="Arial"/>
          <w:sz w:val="20"/>
          <w:szCs w:val="20"/>
        </w:rPr>
        <w:t xml:space="preserve"> komise (TDK) za účasti všech orgánů, organizací a vlastníků pozemků, dotčených touto stavbou. Zadavateli bude zhotovitelem v dostatečném předstihu (7 dní) zaslána projektová dokumentace jako podklad pro TDK. Výrobní výbory a TDK svolává a zápis vyhotovuje zhotovitel projektové dokumentace.</w:t>
      </w:r>
    </w:p>
    <w:p w:rsidR="009C3B2E" w:rsidRPr="009C3B2E" w:rsidRDefault="009C3B2E" w:rsidP="009C3B2E">
      <w:pPr>
        <w:overflowPunct w:val="0"/>
        <w:autoSpaceDE w:val="0"/>
        <w:autoSpaceDN w:val="0"/>
        <w:adjustRightInd w:val="0"/>
        <w:spacing w:after="120"/>
        <w:jc w:val="both"/>
        <w:textAlignment w:val="baseline"/>
        <w:rPr>
          <w:rFonts w:ascii="Arial" w:hAnsi="Arial" w:cs="Arial"/>
          <w:b/>
          <w:sz w:val="20"/>
          <w:szCs w:val="20"/>
        </w:rPr>
      </w:pPr>
      <w:r w:rsidRPr="009C3B2E">
        <w:rPr>
          <w:rFonts w:ascii="Arial" w:hAnsi="Arial" w:cs="Arial"/>
          <w:b/>
          <w:sz w:val="20"/>
          <w:szCs w:val="20"/>
        </w:rPr>
        <w:t>Po definitivním odsouhlasení zadavatelem bude následně projektová dokumentace ve stupni pro vydání povolení stavebního záměru (DPS/DPZ) předána zadavateli v tištěné podobě a na CD (v plném rozsahu tištěné podoby) v následujícím počtu:</w:t>
      </w:r>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 xml:space="preserve">DPS/DPZ - 3x v tištěné podobě, vč. dokladové části ve všech </w:t>
      </w:r>
      <w:proofErr w:type="spellStart"/>
      <w:r w:rsidRPr="009C3B2E">
        <w:rPr>
          <w:rFonts w:ascii="Arial" w:hAnsi="Arial" w:cs="Arial"/>
          <w:sz w:val="20"/>
          <w:szCs w:val="20"/>
        </w:rPr>
        <w:t>paré</w:t>
      </w:r>
      <w:proofErr w:type="spellEnd"/>
      <w:r w:rsidRPr="009C3B2E">
        <w:rPr>
          <w:rFonts w:ascii="Arial" w:hAnsi="Arial" w:cs="Arial"/>
          <w:sz w:val="20"/>
          <w:szCs w:val="20"/>
        </w:rPr>
        <w:t>, 1x v digitální ve formátu *.</w:t>
      </w:r>
      <w:proofErr w:type="spellStart"/>
      <w:r w:rsidRPr="009C3B2E">
        <w:rPr>
          <w:rFonts w:ascii="Arial" w:hAnsi="Arial" w:cs="Arial"/>
          <w:sz w:val="20"/>
          <w:szCs w:val="20"/>
        </w:rPr>
        <w:t>dwg</w:t>
      </w:r>
      <w:proofErr w:type="spellEnd"/>
      <w:r w:rsidRPr="009C3B2E">
        <w:rPr>
          <w:rFonts w:ascii="Arial" w:hAnsi="Arial" w:cs="Arial"/>
          <w:sz w:val="20"/>
          <w:szCs w:val="20"/>
        </w:rPr>
        <w:t xml:space="preserve"> a *.</w:t>
      </w:r>
      <w:proofErr w:type="spellStart"/>
      <w:r w:rsidRPr="009C3B2E">
        <w:rPr>
          <w:rFonts w:ascii="Arial" w:hAnsi="Arial" w:cs="Arial"/>
          <w:sz w:val="20"/>
          <w:szCs w:val="20"/>
        </w:rPr>
        <w:t>pdf</w:t>
      </w:r>
      <w:proofErr w:type="spellEnd"/>
      <w:r w:rsidRPr="009C3B2E">
        <w:rPr>
          <w:rFonts w:ascii="Arial" w:hAnsi="Arial" w:cs="Arial"/>
          <w:sz w:val="20"/>
          <w:szCs w:val="20"/>
        </w:rPr>
        <w:t xml:space="preserve"> </w:t>
      </w:r>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Záborový elaborát – 2x v tištěné podobě, 1x v digitální ve formátu *.</w:t>
      </w:r>
      <w:proofErr w:type="spellStart"/>
      <w:r w:rsidRPr="009C3B2E">
        <w:rPr>
          <w:rFonts w:ascii="Arial" w:hAnsi="Arial" w:cs="Arial"/>
          <w:sz w:val="20"/>
          <w:szCs w:val="20"/>
        </w:rPr>
        <w:t>pdf</w:t>
      </w:r>
      <w:proofErr w:type="spellEnd"/>
      <w:r w:rsidRPr="009C3B2E">
        <w:rPr>
          <w:rFonts w:ascii="Arial" w:hAnsi="Arial" w:cs="Arial"/>
          <w:sz w:val="20"/>
          <w:szCs w:val="20"/>
        </w:rPr>
        <w:t xml:space="preserve"> nebo *.</w:t>
      </w:r>
      <w:proofErr w:type="spellStart"/>
      <w:r w:rsidRPr="009C3B2E">
        <w:rPr>
          <w:rFonts w:ascii="Arial" w:hAnsi="Arial" w:cs="Arial"/>
          <w:sz w:val="20"/>
          <w:szCs w:val="20"/>
        </w:rPr>
        <w:t>xls</w:t>
      </w:r>
      <w:proofErr w:type="spellEnd"/>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Geodetické zaměření – 1x v digitální ve formátu *.</w:t>
      </w:r>
      <w:proofErr w:type="spellStart"/>
      <w:r w:rsidRPr="009C3B2E">
        <w:rPr>
          <w:rFonts w:ascii="Arial" w:hAnsi="Arial" w:cs="Arial"/>
          <w:sz w:val="20"/>
          <w:szCs w:val="20"/>
        </w:rPr>
        <w:t>dwg</w:t>
      </w:r>
      <w:proofErr w:type="spellEnd"/>
      <w:r w:rsidRPr="009C3B2E">
        <w:rPr>
          <w:rFonts w:ascii="Arial" w:hAnsi="Arial" w:cs="Arial"/>
          <w:sz w:val="20"/>
          <w:szCs w:val="20"/>
        </w:rPr>
        <w:t xml:space="preserve"> a *.</w:t>
      </w:r>
      <w:proofErr w:type="spellStart"/>
      <w:r w:rsidRPr="009C3B2E">
        <w:rPr>
          <w:rFonts w:ascii="Arial" w:hAnsi="Arial" w:cs="Arial"/>
          <w:sz w:val="20"/>
          <w:szCs w:val="20"/>
        </w:rPr>
        <w:t>pdf</w:t>
      </w:r>
      <w:proofErr w:type="spellEnd"/>
      <w:r w:rsidRPr="009C3B2E">
        <w:rPr>
          <w:rFonts w:ascii="Arial" w:hAnsi="Arial" w:cs="Arial"/>
          <w:sz w:val="20"/>
          <w:szCs w:val="20"/>
        </w:rPr>
        <w:t xml:space="preserve"> a vytyčovací síť vytyčovaných bodů ve formátu *.doc, *.</w:t>
      </w:r>
      <w:proofErr w:type="spellStart"/>
      <w:r w:rsidRPr="009C3B2E">
        <w:rPr>
          <w:rFonts w:ascii="Arial" w:hAnsi="Arial" w:cs="Arial"/>
          <w:sz w:val="20"/>
          <w:szCs w:val="20"/>
        </w:rPr>
        <w:t>xls</w:t>
      </w:r>
      <w:proofErr w:type="spellEnd"/>
      <w:r w:rsidRPr="009C3B2E">
        <w:rPr>
          <w:rFonts w:ascii="Arial" w:hAnsi="Arial" w:cs="Arial"/>
          <w:sz w:val="20"/>
          <w:szCs w:val="20"/>
        </w:rPr>
        <w:t xml:space="preserve"> nebo *.</w:t>
      </w:r>
      <w:proofErr w:type="spellStart"/>
      <w:r w:rsidRPr="009C3B2E">
        <w:rPr>
          <w:rFonts w:ascii="Arial" w:hAnsi="Arial" w:cs="Arial"/>
          <w:sz w:val="20"/>
          <w:szCs w:val="20"/>
        </w:rPr>
        <w:t>txt</w:t>
      </w:r>
      <w:proofErr w:type="spellEnd"/>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Odhad stavebních nákladů – 1x v digitální ve formátu *.</w:t>
      </w:r>
      <w:proofErr w:type="spellStart"/>
      <w:r w:rsidRPr="009C3B2E">
        <w:rPr>
          <w:rFonts w:ascii="Arial" w:hAnsi="Arial" w:cs="Arial"/>
          <w:sz w:val="20"/>
          <w:szCs w:val="20"/>
        </w:rPr>
        <w:t>pdf</w:t>
      </w:r>
      <w:proofErr w:type="spellEnd"/>
      <w:r w:rsidRPr="009C3B2E">
        <w:rPr>
          <w:rFonts w:ascii="Arial" w:hAnsi="Arial" w:cs="Arial"/>
          <w:sz w:val="20"/>
          <w:szCs w:val="20"/>
        </w:rPr>
        <w:t xml:space="preserve"> nebo *.</w:t>
      </w:r>
      <w:proofErr w:type="spellStart"/>
      <w:r w:rsidRPr="009C3B2E">
        <w:rPr>
          <w:rFonts w:ascii="Arial" w:hAnsi="Arial" w:cs="Arial"/>
          <w:sz w:val="20"/>
          <w:szCs w:val="20"/>
        </w:rPr>
        <w:t>xls</w:t>
      </w:r>
      <w:proofErr w:type="spellEnd"/>
    </w:p>
    <w:p w:rsidR="009C3B2E" w:rsidRPr="009C3B2E" w:rsidRDefault="009C3B2E" w:rsidP="009C3B2E">
      <w:pPr>
        <w:rPr>
          <w:rFonts w:ascii="Arial" w:hAnsi="Arial" w:cs="Arial"/>
          <w:b/>
          <w:sz w:val="20"/>
          <w:szCs w:val="20"/>
          <w:u w:val="single"/>
        </w:rPr>
      </w:pPr>
      <w:r w:rsidRPr="009C3B2E">
        <w:rPr>
          <w:rFonts w:ascii="Arial" w:hAnsi="Arial" w:cs="Arial"/>
          <w:b/>
          <w:sz w:val="20"/>
          <w:szCs w:val="20"/>
          <w:u w:val="single"/>
        </w:rPr>
        <w:t>Vypracování dokumentace pro provádění stavby</w:t>
      </w:r>
    </w:p>
    <w:p w:rsidR="009C3B2E" w:rsidRPr="009C3B2E" w:rsidRDefault="009C3B2E" w:rsidP="009C3B2E">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r w:rsidRPr="009C3B2E">
        <w:rPr>
          <w:rFonts w:ascii="Arial" w:hAnsi="Arial" w:cs="Arial"/>
          <w:sz w:val="20"/>
          <w:szCs w:val="20"/>
        </w:rPr>
        <w:t xml:space="preserve">Rozsah a obsah dokumentace je stanoven Směrnicí pro dokumentaci staveb pozemních komunikací, </w:t>
      </w:r>
      <w:r w:rsidRPr="009C3B2E">
        <w:rPr>
          <w:rFonts w:ascii="Arial" w:eastAsia="Times New Roman" w:hAnsi="Arial" w:cs="Arial"/>
          <w:sz w:val="20"/>
          <w:szCs w:val="20"/>
          <w:lang w:eastAsia="cs-CZ"/>
        </w:rPr>
        <w:t xml:space="preserve">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w:t>
      </w:r>
      <w:proofErr w:type="gramStart"/>
      <w:r w:rsidRPr="009C3B2E">
        <w:rPr>
          <w:rFonts w:ascii="Arial" w:eastAsia="Times New Roman" w:hAnsi="Arial" w:cs="Arial"/>
          <w:sz w:val="20"/>
          <w:szCs w:val="20"/>
          <w:lang w:eastAsia="cs-CZ"/>
        </w:rPr>
        <w:t>zákon,  Zákonem</w:t>
      </w:r>
      <w:proofErr w:type="gramEnd"/>
      <w:r w:rsidRPr="009C3B2E">
        <w:rPr>
          <w:rFonts w:ascii="Arial" w:eastAsia="Times New Roman" w:hAnsi="Arial" w:cs="Arial"/>
          <w:sz w:val="20"/>
          <w:szCs w:val="20"/>
          <w:lang w:eastAsia="cs-CZ"/>
        </w:rPr>
        <w:t xml:space="preserve"> č. 152/2023 Sb. - Zákon, kterým se mění zákon č. 283/2021 Sb., stavební zákon, ve znění zákona č. 195/2022 Sb., a </w:t>
      </w:r>
      <w:r w:rsidRPr="009C3B2E">
        <w:rPr>
          <w:rFonts w:ascii="Arial" w:eastAsia="Times New Roman" w:hAnsi="Arial" w:cs="Arial"/>
          <w:sz w:val="20"/>
          <w:szCs w:val="20"/>
          <w:lang w:eastAsia="cs-CZ"/>
        </w:rPr>
        <w:lastRenderedPageBreak/>
        <w:t>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komunikací,  schválené Ministerstvem dopravy, Odborem liniových staveb a silničního správního úřadu pod č. j. MD-43101/2023-930/2 ze dne 19. 12. 2023 s účinností od 1. 1. 2024 z 12/2023, a Technické kvalitativní podmínky staveb pozemních komunikací,</w:t>
      </w:r>
      <w:r w:rsidRPr="009C3B2E">
        <w:rPr>
          <w:rFonts w:ascii="Arial" w:hAnsi="Arial" w:cs="Arial"/>
          <w:sz w:val="20"/>
          <w:szCs w:val="20"/>
        </w:rPr>
        <w:t xml:space="preserve"> </w:t>
      </w:r>
      <w:r w:rsidRPr="009C3B2E">
        <w:rPr>
          <w:rFonts w:ascii="Arial" w:eastAsia="Times New Roman" w:hAnsi="Arial" w:cs="Arial"/>
          <w:sz w:val="20"/>
          <w:szCs w:val="20"/>
          <w:lang w:eastAsia="cs-CZ"/>
        </w:rPr>
        <w:t xml:space="preserve">Kapitola 1 Všeobecně, Změna č. 2,  schváleno Ministerstvem dopravy, Odborem pozemních komunikací pod č. j. MD-45948/2025-940/3 v srpnu 2025 s účinností od 15. 8. 2025, Zákon č. 318/2025 </w:t>
      </w:r>
      <w:proofErr w:type="spellStart"/>
      <w:proofErr w:type="gramStart"/>
      <w:r w:rsidRPr="009C3B2E">
        <w:rPr>
          <w:rFonts w:ascii="Arial" w:eastAsia="Times New Roman" w:hAnsi="Arial" w:cs="Arial"/>
          <w:sz w:val="20"/>
          <w:szCs w:val="20"/>
          <w:lang w:eastAsia="cs-CZ"/>
        </w:rPr>
        <w:t>Sb.Zákon</w:t>
      </w:r>
      <w:proofErr w:type="spellEnd"/>
      <w:proofErr w:type="gramEnd"/>
      <w:r w:rsidRPr="009C3B2E">
        <w:rPr>
          <w:rFonts w:ascii="Arial" w:eastAsia="Times New Roman" w:hAnsi="Arial" w:cs="Arial"/>
          <w:sz w:val="20"/>
          <w:szCs w:val="20"/>
          <w:lang w:eastAsia="cs-CZ"/>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w:t>
      </w:r>
      <w:proofErr w:type="spellStart"/>
      <w:r w:rsidRPr="009C3B2E">
        <w:rPr>
          <w:rFonts w:ascii="Arial" w:eastAsia="Times New Roman" w:hAnsi="Arial" w:cs="Arial"/>
          <w:sz w:val="20"/>
          <w:szCs w:val="20"/>
          <w:lang w:eastAsia="cs-CZ"/>
        </w:rPr>
        <w:t>Sb.Nařízení</w:t>
      </w:r>
      <w:proofErr w:type="spellEnd"/>
      <w:r w:rsidRPr="009C3B2E">
        <w:rPr>
          <w:rFonts w:ascii="Arial" w:eastAsia="Times New Roman" w:hAnsi="Arial" w:cs="Arial"/>
          <w:sz w:val="20"/>
          <w:szCs w:val="20"/>
          <w:lang w:eastAsia="cs-CZ"/>
        </w:rPr>
        <w:t xml:space="preserve"> vlády, kterým se mění nařízení vlády č. 591/2006 Sb., o bližších minimálních požadavcích na bezpečnost a ochranu zdraví při práci na staveništích, ve znění nařízení vlády č. 136/2016 Sb., vše v platném znění a bude obsahovat:</w:t>
      </w:r>
    </w:p>
    <w:p w:rsidR="009C3B2E" w:rsidRPr="009C3B2E" w:rsidRDefault="009C3B2E" w:rsidP="009C3B2E">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9C3B2E">
        <w:rPr>
          <w:rFonts w:ascii="Arial" w:eastAsia="Times New Roman" w:hAnsi="Arial" w:cs="Arial"/>
          <w:sz w:val="20"/>
          <w:szCs w:val="20"/>
          <w:lang w:eastAsia="cs-CZ"/>
        </w:rPr>
        <w:t>Návrh rekonstrukce rozšíření vozovky v souladu se zpracovanou DPS/DPZ.</w:t>
      </w:r>
      <w:r w:rsidRPr="009C3B2E">
        <w:rPr>
          <w:rFonts w:ascii="Arial" w:hAnsi="Arial" w:cs="Arial"/>
          <w:sz w:val="20"/>
          <w:szCs w:val="20"/>
        </w:rPr>
        <w:t xml:space="preserve"> </w:t>
      </w:r>
      <w:r w:rsidRPr="009C3B2E">
        <w:rPr>
          <w:rFonts w:ascii="Arial" w:eastAsia="Times New Roman" w:hAnsi="Arial" w:cs="Arial"/>
          <w:sz w:val="20"/>
          <w:szCs w:val="20"/>
          <w:lang w:eastAsia="cs-CZ"/>
        </w:rPr>
        <w:t>Součástí dokumentace bude řešení případných přeložek inženýrských sítí a úprava konstrukce silnice v daném rozsahu.</w:t>
      </w:r>
    </w:p>
    <w:p w:rsidR="009C3B2E" w:rsidRPr="009C3B2E" w:rsidRDefault="009C3B2E" w:rsidP="009C3B2E">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C3B2E">
        <w:rPr>
          <w:rFonts w:ascii="Arial" w:hAnsi="Arial" w:cs="Arial"/>
          <w:sz w:val="20"/>
          <w:szCs w:val="20"/>
        </w:rPr>
        <w:t>Vytyčovací výkres stavby</w:t>
      </w:r>
    </w:p>
    <w:p w:rsidR="009C3B2E" w:rsidRPr="009C3B2E" w:rsidRDefault="009C3B2E" w:rsidP="009C3B2E">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C3B2E">
        <w:rPr>
          <w:rFonts w:ascii="Arial" w:hAnsi="Arial" w:cs="Arial"/>
          <w:sz w:val="20"/>
          <w:szCs w:val="20"/>
        </w:rPr>
        <w:t>Definitivní dopravní značení včetně příslušných projednání</w:t>
      </w:r>
    </w:p>
    <w:p w:rsidR="009C3B2E" w:rsidRPr="009C3B2E" w:rsidRDefault="009C3B2E" w:rsidP="009C3B2E">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C3B2E">
        <w:rPr>
          <w:rFonts w:ascii="Arial" w:hAnsi="Arial" w:cs="Arial"/>
          <w:sz w:val="20"/>
          <w:szCs w:val="20"/>
        </w:rPr>
        <w:t>Katastrální a koordinační situace</w:t>
      </w:r>
    </w:p>
    <w:p w:rsidR="009C3B2E" w:rsidRPr="009C3B2E" w:rsidRDefault="009C3B2E" w:rsidP="009C3B2E">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9C3B2E">
        <w:rPr>
          <w:rFonts w:ascii="Arial" w:hAnsi="Arial" w:cs="Arial"/>
          <w:sz w:val="20"/>
          <w:szCs w:val="20"/>
        </w:rPr>
        <w:t>Zásady organizace výstavby</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sz w:val="20"/>
          <w:szCs w:val="20"/>
        </w:rPr>
      </w:pPr>
      <w:proofErr w:type="gramStart"/>
      <w:r w:rsidRPr="009C3B2E">
        <w:rPr>
          <w:rFonts w:ascii="Arial" w:eastAsia="Times New Roman" w:hAnsi="Arial" w:cs="Arial"/>
          <w:sz w:val="20"/>
          <w:szCs w:val="20"/>
          <w:lang w:eastAsia="cs-CZ"/>
        </w:rPr>
        <w:t xml:space="preserve">-   </w:t>
      </w:r>
      <w:r w:rsidRPr="009C3B2E">
        <w:rPr>
          <w:rFonts w:ascii="Arial" w:hAnsi="Arial" w:cs="Arial"/>
          <w:sz w:val="20"/>
          <w:szCs w:val="20"/>
        </w:rPr>
        <w:t xml:space="preserve">   Výkaz</w:t>
      </w:r>
      <w:proofErr w:type="gramEnd"/>
      <w:r w:rsidRPr="009C3B2E">
        <w:rPr>
          <w:rFonts w:ascii="Arial" w:hAnsi="Arial" w:cs="Arial"/>
          <w:sz w:val="20"/>
          <w:szCs w:val="20"/>
        </w:rPr>
        <w:t xml:space="preserve"> výměr s bilancí zemních prací</w:t>
      </w:r>
      <w:r w:rsidRPr="009C3B2E">
        <w:rPr>
          <w:rFonts w:ascii="Arial" w:eastAsia="Times New Roman" w:hAnsi="Arial" w:cs="Arial"/>
          <w:sz w:val="20"/>
          <w:szCs w:val="20"/>
          <w:lang w:eastAsia="cs-CZ"/>
        </w:rPr>
        <w:t xml:space="preserve"> </w:t>
      </w:r>
      <w:r w:rsidRPr="009C3B2E">
        <w:rPr>
          <w:rFonts w:ascii="Arial" w:hAnsi="Arial" w:cs="Arial"/>
          <w:sz w:val="20"/>
          <w:szCs w:val="20"/>
        </w:rPr>
        <w:t xml:space="preserve">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proofErr w:type="gramStart"/>
      <w:r w:rsidRPr="009C3B2E">
        <w:rPr>
          <w:rFonts w:ascii="Arial" w:hAnsi="Arial" w:cs="Arial"/>
          <w:sz w:val="20"/>
          <w:szCs w:val="20"/>
        </w:rPr>
        <w:t>-      Dopravně</w:t>
      </w:r>
      <w:proofErr w:type="gramEnd"/>
      <w:r w:rsidRPr="009C3B2E">
        <w:rPr>
          <w:rFonts w:ascii="Arial" w:hAnsi="Arial" w:cs="Arial"/>
          <w:sz w:val="20"/>
          <w:szCs w:val="20"/>
        </w:rPr>
        <w:t xml:space="preserve"> inženýrská opatření (DIO) po dobu provádění stavebních prací, návrh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objízdných tras, svislé dopravní značení pro dopravní opatření (zřízení a odstranění) bude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navrženo dle TP 66 Zásady pro označování pracovních míst na pozemních komunikacích pro provizorní dopravní </w:t>
      </w:r>
      <w:proofErr w:type="gramStart"/>
      <w:r w:rsidRPr="009C3B2E">
        <w:rPr>
          <w:rFonts w:ascii="Arial" w:hAnsi="Arial" w:cs="Arial"/>
          <w:sz w:val="20"/>
          <w:szCs w:val="20"/>
        </w:rPr>
        <w:t>značení,  schválených</w:t>
      </w:r>
      <w:proofErr w:type="gramEnd"/>
      <w:r w:rsidRPr="009C3B2E">
        <w:rPr>
          <w:rFonts w:ascii="Arial" w:hAnsi="Arial" w:cs="Arial"/>
          <w:sz w:val="20"/>
          <w:szCs w:val="20"/>
        </w:rPr>
        <w:t xml:space="preserve"> Ministerstvem dopravy čj. 21/2015-120-TN/1 ze dne 12. března 2015 s účinností od 1. dubna 2015</w:t>
      </w:r>
    </w:p>
    <w:p w:rsidR="009C3B2E" w:rsidRPr="009C3B2E" w:rsidRDefault="009C3B2E" w:rsidP="009C3B2E">
      <w:pPr>
        <w:overflowPunct w:val="0"/>
        <w:autoSpaceDE w:val="0"/>
        <w:autoSpaceDN w:val="0"/>
        <w:adjustRightInd w:val="0"/>
        <w:spacing w:after="0"/>
        <w:jc w:val="both"/>
        <w:textAlignment w:val="baseline"/>
        <w:rPr>
          <w:rFonts w:ascii="Arial" w:eastAsia="Times New Roman" w:hAnsi="Arial" w:cs="Arial"/>
          <w:b/>
          <w:sz w:val="20"/>
          <w:szCs w:val="20"/>
          <w:lang w:eastAsia="cs-CZ"/>
        </w:rPr>
      </w:pPr>
      <w:proofErr w:type="gramStart"/>
      <w:r w:rsidRPr="009C3B2E">
        <w:rPr>
          <w:rFonts w:ascii="Arial" w:hAnsi="Arial" w:cs="Arial"/>
          <w:sz w:val="20"/>
          <w:szCs w:val="20"/>
        </w:rPr>
        <w:t xml:space="preserve">-      </w:t>
      </w:r>
      <w:r w:rsidRPr="009C3B2E">
        <w:rPr>
          <w:rFonts w:ascii="Arial" w:hAnsi="Arial" w:cs="Arial"/>
          <w:color w:val="000000"/>
          <w:sz w:val="20"/>
          <w:szCs w:val="20"/>
          <w:lang w:eastAsia="cs-CZ"/>
        </w:rPr>
        <w:t>Projektant</w:t>
      </w:r>
      <w:proofErr w:type="gramEnd"/>
      <w:r w:rsidRPr="009C3B2E">
        <w:rPr>
          <w:rFonts w:ascii="Arial" w:hAnsi="Arial" w:cs="Arial"/>
          <w:color w:val="000000"/>
          <w:sz w:val="20"/>
          <w:szCs w:val="20"/>
          <w:lang w:eastAsia="cs-CZ"/>
        </w:rPr>
        <w:t xml:space="preserve">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odst. </w:t>
      </w:r>
      <w:r w:rsidRPr="009C3B2E">
        <w:rPr>
          <w:rFonts w:ascii="Arial" w:hAnsi="Arial" w:cs="Arial"/>
          <w:bCs/>
          <w:color w:val="000000"/>
          <w:sz w:val="20"/>
          <w:szCs w:val="20"/>
          <w:lang w:eastAsia="cs-CZ"/>
        </w:rPr>
        <w:t>(4</w:t>
      </w:r>
      <w:r w:rsidRPr="009C3B2E">
        <w:rPr>
          <w:rFonts w:ascii="Arial" w:hAnsi="Arial" w:cs="Arial"/>
          <w:bCs/>
          <w:sz w:val="20"/>
          <w:szCs w:val="20"/>
          <w:lang w:eastAsia="cs-CZ"/>
        </w:rPr>
        <w:t>)</w:t>
      </w:r>
      <w:r w:rsidRPr="009C3B2E">
        <w:rPr>
          <w:rFonts w:ascii="Arial" w:hAnsi="Arial" w:cs="Arial"/>
          <w:sz w:val="20"/>
          <w:szCs w:val="20"/>
          <w:lang w:eastAsia="cs-CZ"/>
        </w:rPr>
        <w:t> </w:t>
      </w:r>
      <w:r w:rsidRPr="009C3B2E">
        <w:rPr>
          <w:rFonts w:ascii="Arial" w:hAnsi="Arial" w:cs="Arial"/>
          <w:bCs/>
          <w:sz w:val="20"/>
          <w:szCs w:val="20"/>
          <w:lang w:eastAsia="cs-CZ"/>
        </w:rPr>
        <w:t>§ 14</w:t>
      </w:r>
      <w:r w:rsidRPr="009C3B2E">
        <w:rPr>
          <w:rFonts w:ascii="Arial" w:hAnsi="Arial" w:cs="Arial"/>
          <w:sz w:val="20"/>
          <w:szCs w:val="20"/>
        </w:rPr>
        <w:t xml:space="preserve">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v souladu se Zákonem č. 318/2025 </w:t>
      </w:r>
      <w:proofErr w:type="spellStart"/>
      <w:proofErr w:type="gramStart"/>
      <w:r w:rsidRPr="009C3B2E">
        <w:rPr>
          <w:rFonts w:ascii="Arial" w:hAnsi="Arial" w:cs="Arial"/>
          <w:sz w:val="20"/>
          <w:szCs w:val="20"/>
        </w:rPr>
        <w:t>Sb.Zákon</w:t>
      </w:r>
      <w:proofErr w:type="spellEnd"/>
      <w:proofErr w:type="gramEnd"/>
      <w:r w:rsidRPr="009C3B2E">
        <w:rPr>
          <w:rFonts w:ascii="Arial" w:hAnsi="Arial" w:cs="Arial"/>
          <w:sz w:val="20"/>
          <w:szCs w:val="20"/>
        </w:rPr>
        <w:t>,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319/2025 Sb., Nařízením vlády, kterým se mění nařízení vlády č. 591/2006 Sb., o bližších minimálních požadavcích na bezpečnost a ochranu zdraví při práci na staveništích, ve znění nařízení vlády č. 136/2016 Sb., a další související zákony</w:t>
      </w:r>
      <w:r w:rsidRPr="009C3B2E">
        <w:rPr>
          <w:rFonts w:ascii="Arial" w:hAnsi="Arial" w:cs="Arial"/>
          <w:color w:val="000000"/>
          <w:sz w:val="20"/>
          <w:szCs w:val="20"/>
          <w:lang w:eastAsia="cs-CZ"/>
        </w:rPr>
        <w:t>.</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proofErr w:type="gramStart"/>
      <w:r w:rsidRPr="009C3B2E">
        <w:rPr>
          <w:rFonts w:ascii="Arial" w:hAnsi="Arial" w:cs="Arial"/>
          <w:sz w:val="20"/>
          <w:szCs w:val="20"/>
        </w:rPr>
        <w:t>-      Havarijní</w:t>
      </w:r>
      <w:proofErr w:type="gramEnd"/>
      <w:r w:rsidRPr="009C3B2E">
        <w:rPr>
          <w:rFonts w:ascii="Arial" w:hAnsi="Arial" w:cs="Arial"/>
          <w:sz w:val="20"/>
          <w:szCs w:val="20"/>
        </w:rPr>
        <w:t xml:space="preserve"> a povodňový plán</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proofErr w:type="gramStart"/>
      <w:r w:rsidRPr="009C3B2E">
        <w:rPr>
          <w:rFonts w:ascii="Arial" w:hAnsi="Arial" w:cs="Arial"/>
          <w:sz w:val="20"/>
          <w:szCs w:val="20"/>
        </w:rPr>
        <w:t>-      Neoceněný</w:t>
      </w:r>
      <w:proofErr w:type="gramEnd"/>
      <w:r w:rsidRPr="009C3B2E">
        <w:rPr>
          <w:rFonts w:ascii="Arial" w:hAnsi="Arial" w:cs="Arial"/>
          <w:sz w:val="20"/>
          <w:szCs w:val="20"/>
        </w:rPr>
        <w:t xml:space="preserve"> soupis prací, oceněný soupis prací (kontrolní rozpočet pro potřeby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zadavatele), soupis prací bude zpracován v rozpočtovém programu </w:t>
      </w:r>
      <w:bookmarkStart w:id="0" w:name="_GoBack"/>
      <w:bookmarkEnd w:id="0"/>
      <w:r w:rsidRPr="009C3B2E">
        <w:rPr>
          <w:rFonts w:ascii="Arial" w:hAnsi="Arial" w:cs="Arial"/>
          <w:sz w:val="20"/>
          <w:szCs w:val="20"/>
        </w:rPr>
        <w:t xml:space="preserve">Aspe (v oborovém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třídníku stavebních konstrukcí OTSKP) v souladu s vyhláškou č. 405/2017 Sb., kterou se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mění vyhláška č. 499/2006 Sb., o dokumentaci staveb, ve znění vyhlášky č. 62/2013 Sb.,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a s Vyhláškou č. 169/2016 Sb., o stanovení rozsahu dokumentace veřejné zakázky na </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r w:rsidRPr="009C3B2E">
        <w:rPr>
          <w:rFonts w:ascii="Arial" w:hAnsi="Arial" w:cs="Arial"/>
          <w:sz w:val="20"/>
          <w:szCs w:val="20"/>
        </w:rPr>
        <w:t xml:space="preserve">       stavební práce a soupisu stavebních prací, dodávek a služeb s výkazem výměr.</w:t>
      </w:r>
    </w:p>
    <w:p w:rsidR="009C3B2E" w:rsidRPr="009C3B2E" w:rsidRDefault="009C3B2E" w:rsidP="009C3B2E">
      <w:pPr>
        <w:overflowPunct w:val="0"/>
        <w:autoSpaceDE w:val="0"/>
        <w:autoSpaceDN w:val="0"/>
        <w:adjustRightInd w:val="0"/>
        <w:spacing w:after="0"/>
        <w:jc w:val="both"/>
        <w:textAlignment w:val="baseline"/>
        <w:rPr>
          <w:rFonts w:ascii="Arial" w:hAnsi="Arial" w:cs="Arial"/>
          <w:sz w:val="20"/>
          <w:szCs w:val="20"/>
        </w:rPr>
      </w:pPr>
    </w:p>
    <w:p w:rsidR="009C3B2E" w:rsidRPr="009C3B2E" w:rsidRDefault="009C3B2E" w:rsidP="009C3B2E">
      <w:pPr>
        <w:spacing w:after="120" w:line="240" w:lineRule="auto"/>
        <w:jc w:val="both"/>
        <w:rPr>
          <w:rFonts w:ascii="Arial" w:hAnsi="Arial" w:cs="Arial"/>
          <w:sz w:val="20"/>
          <w:szCs w:val="20"/>
        </w:rPr>
      </w:pPr>
      <w:r w:rsidRPr="009C3B2E">
        <w:rPr>
          <w:rFonts w:ascii="Arial" w:hAnsi="Arial" w:cs="Arial"/>
          <w:sz w:val="20"/>
          <w:szCs w:val="20"/>
        </w:rPr>
        <w:lastRenderedPageBreak/>
        <w:t>Dokumentace bude projednána na výrobních výborech (minimálně 2x) a TDK za účasti všech orgánů, organizací a vlastníků pozemků, dotčených touto stavbou. Jednání svolává a zápis vyhotovuje zhotovitel projektové dokumentace.</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b/>
          <w:sz w:val="20"/>
          <w:szCs w:val="20"/>
        </w:rPr>
      </w:pPr>
      <w:r w:rsidRPr="009C3B2E">
        <w:rPr>
          <w:rFonts w:ascii="Arial" w:hAnsi="Arial" w:cs="Arial"/>
          <w:b/>
          <w:sz w:val="20"/>
          <w:szCs w:val="20"/>
        </w:rPr>
        <w:t>Po definitivním odsouhlasení objednatelem bude následně PDPS předána objednateli v tištěné podobě a na CD (v plném rozsahu tištěné podoby) v následujícím počtu:</w:t>
      </w:r>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PDPS - 3x v tištěné podobě, 1x v digitální ve formátu *.</w:t>
      </w:r>
      <w:proofErr w:type="spellStart"/>
      <w:r w:rsidRPr="009C3B2E">
        <w:rPr>
          <w:rFonts w:ascii="Arial" w:hAnsi="Arial" w:cs="Arial"/>
          <w:sz w:val="20"/>
          <w:szCs w:val="20"/>
        </w:rPr>
        <w:t>dwg</w:t>
      </w:r>
      <w:proofErr w:type="spellEnd"/>
      <w:r w:rsidRPr="009C3B2E">
        <w:rPr>
          <w:rFonts w:ascii="Arial" w:hAnsi="Arial" w:cs="Arial"/>
          <w:sz w:val="20"/>
          <w:szCs w:val="20"/>
        </w:rPr>
        <w:t xml:space="preserve"> a *.</w:t>
      </w:r>
      <w:proofErr w:type="spellStart"/>
      <w:r w:rsidRPr="009C3B2E">
        <w:rPr>
          <w:rFonts w:ascii="Arial" w:hAnsi="Arial" w:cs="Arial"/>
          <w:sz w:val="20"/>
          <w:szCs w:val="20"/>
        </w:rPr>
        <w:t>pdf</w:t>
      </w:r>
      <w:proofErr w:type="spellEnd"/>
      <w:r w:rsidRPr="009C3B2E">
        <w:rPr>
          <w:rFonts w:ascii="Arial" w:hAnsi="Arial" w:cs="Arial"/>
          <w:sz w:val="20"/>
          <w:szCs w:val="20"/>
        </w:rPr>
        <w:t xml:space="preserve"> </w:t>
      </w:r>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Oceněný soupis prací – 1x v digitální ve formátu *.</w:t>
      </w:r>
      <w:proofErr w:type="spellStart"/>
      <w:r w:rsidRPr="009C3B2E">
        <w:rPr>
          <w:rFonts w:ascii="Arial" w:hAnsi="Arial" w:cs="Arial"/>
          <w:sz w:val="20"/>
          <w:szCs w:val="20"/>
        </w:rPr>
        <w:t>xls</w:t>
      </w:r>
      <w:proofErr w:type="spellEnd"/>
      <w:r w:rsidRPr="009C3B2E">
        <w:rPr>
          <w:rFonts w:ascii="Arial" w:hAnsi="Arial" w:cs="Arial"/>
          <w:sz w:val="20"/>
          <w:szCs w:val="20"/>
        </w:rPr>
        <w:t>(x), *.</w:t>
      </w:r>
      <w:proofErr w:type="spellStart"/>
      <w:proofErr w:type="gramStart"/>
      <w:r w:rsidRPr="009C3B2E">
        <w:rPr>
          <w:rFonts w:ascii="Arial" w:hAnsi="Arial" w:cs="Arial"/>
          <w:sz w:val="20"/>
          <w:szCs w:val="20"/>
        </w:rPr>
        <w:t>pdf</w:t>
      </w:r>
      <w:proofErr w:type="spellEnd"/>
      <w:r w:rsidRPr="009C3B2E">
        <w:rPr>
          <w:rFonts w:ascii="Arial" w:hAnsi="Arial" w:cs="Arial"/>
          <w:sz w:val="20"/>
          <w:szCs w:val="20"/>
        </w:rPr>
        <w:t xml:space="preserve"> a *.</w:t>
      </w:r>
      <w:proofErr w:type="spellStart"/>
      <w:r w:rsidRPr="009C3B2E">
        <w:rPr>
          <w:rFonts w:ascii="Arial" w:hAnsi="Arial" w:cs="Arial"/>
          <w:sz w:val="20"/>
          <w:szCs w:val="20"/>
        </w:rPr>
        <w:t>xml</w:t>
      </w:r>
      <w:proofErr w:type="spellEnd"/>
      <w:proofErr w:type="gramEnd"/>
      <w:r w:rsidRPr="009C3B2E">
        <w:rPr>
          <w:rFonts w:ascii="Arial" w:hAnsi="Arial" w:cs="Arial"/>
          <w:sz w:val="20"/>
          <w:szCs w:val="20"/>
        </w:rPr>
        <w:t xml:space="preserve"> (exportní soubor z </w:t>
      </w:r>
      <w:proofErr w:type="spellStart"/>
      <w:r w:rsidR="00972071">
        <w:rPr>
          <w:rFonts w:ascii="Arial" w:hAnsi="Arial" w:cs="Arial"/>
          <w:sz w:val="20"/>
          <w:szCs w:val="20"/>
        </w:rPr>
        <w:t>Esticonu</w:t>
      </w:r>
      <w:proofErr w:type="spellEnd"/>
      <w:r w:rsidRPr="009C3B2E">
        <w:rPr>
          <w:rFonts w:ascii="Arial" w:hAnsi="Arial" w:cs="Arial"/>
          <w:sz w:val="20"/>
          <w:szCs w:val="20"/>
        </w:rPr>
        <w:t xml:space="preserve"> v datovém předpisu XC4)</w:t>
      </w:r>
    </w:p>
    <w:p w:rsidR="009C3B2E" w:rsidRPr="009C3B2E" w:rsidRDefault="009C3B2E" w:rsidP="009C3B2E">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9C3B2E">
        <w:rPr>
          <w:rFonts w:ascii="Arial" w:hAnsi="Arial" w:cs="Arial"/>
          <w:sz w:val="20"/>
          <w:szCs w:val="20"/>
        </w:rPr>
        <w:t>Neoceněný soupis prací – 1x v digitální ve formátu *.</w:t>
      </w:r>
      <w:proofErr w:type="spellStart"/>
      <w:r w:rsidRPr="009C3B2E">
        <w:rPr>
          <w:rFonts w:ascii="Arial" w:hAnsi="Arial" w:cs="Arial"/>
          <w:sz w:val="20"/>
          <w:szCs w:val="20"/>
        </w:rPr>
        <w:t>xls</w:t>
      </w:r>
      <w:proofErr w:type="spellEnd"/>
      <w:r w:rsidRPr="009C3B2E">
        <w:rPr>
          <w:rFonts w:ascii="Arial" w:hAnsi="Arial" w:cs="Arial"/>
          <w:sz w:val="20"/>
          <w:szCs w:val="20"/>
        </w:rPr>
        <w:t>(x), *.</w:t>
      </w:r>
      <w:proofErr w:type="spellStart"/>
      <w:proofErr w:type="gramStart"/>
      <w:r w:rsidRPr="009C3B2E">
        <w:rPr>
          <w:rFonts w:ascii="Arial" w:hAnsi="Arial" w:cs="Arial"/>
          <w:sz w:val="20"/>
          <w:szCs w:val="20"/>
        </w:rPr>
        <w:t>pdf</w:t>
      </w:r>
      <w:proofErr w:type="spellEnd"/>
      <w:r w:rsidR="00972071">
        <w:rPr>
          <w:rFonts w:ascii="Arial" w:hAnsi="Arial" w:cs="Arial"/>
          <w:sz w:val="20"/>
          <w:szCs w:val="20"/>
        </w:rPr>
        <w:t xml:space="preserve"> a *.</w:t>
      </w:r>
      <w:proofErr w:type="spellStart"/>
      <w:r w:rsidR="00972071">
        <w:rPr>
          <w:rFonts w:ascii="Arial" w:hAnsi="Arial" w:cs="Arial"/>
          <w:sz w:val="20"/>
          <w:szCs w:val="20"/>
        </w:rPr>
        <w:t>xml</w:t>
      </w:r>
      <w:proofErr w:type="spellEnd"/>
      <w:proofErr w:type="gramEnd"/>
      <w:r w:rsidR="00972071">
        <w:rPr>
          <w:rFonts w:ascii="Arial" w:hAnsi="Arial" w:cs="Arial"/>
          <w:sz w:val="20"/>
          <w:szCs w:val="20"/>
        </w:rPr>
        <w:t xml:space="preserve"> (exportní soubor z Esticonu</w:t>
      </w:r>
      <w:r w:rsidRPr="009C3B2E">
        <w:rPr>
          <w:rFonts w:ascii="Arial" w:hAnsi="Arial" w:cs="Arial"/>
          <w:sz w:val="20"/>
          <w:szCs w:val="20"/>
        </w:rPr>
        <w:t xml:space="preserve"> v datovém předpisu XC4)</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sz w:val="20"/>
          <w:szCs w:val="20"/>
        </w:rPr>
      </w:pPr>
      <w:r w:rsidRPr="009C3B2E">
        <w:rPr>
          <w:rFonts w:ascii="Tahoma" w:hAnsi="Tahoma" w:cs="Tahoma"/>
          <w:sz w:val="20"/>
          <w:szCs w:val="20"/>
        </w:rPr>
        <w:t>⁕</w:t>
      </w:r>
      <w:r w:rsidRPr="009C3B2E">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sz w:val="20"/>
          <w:szCs w:val="20"/>
        </w:rPr>
      </w:pPr>
      <w:r w:rsidRPr="009C3B2E">
        <w:rPr>
          <w:rFonts w:ascii="Arial" w:hAnsi="Arial" w:cs="Arial"/>
          <w:sz w:val="20"/>
          <w:szCs w:val="20"/>
        </w:rPr>
        <w:t xml:space="preserve">Digitální podoba projektové dokumentace bude předána na nosiči CD v plném rozsahu tištěné podoby. </w:t>
      </w:r>
    </w:p>
    <w:p w:rsidR="009C3B2E" w:rsidRPr="009C3B2E" w:rsidRDefault="009C3B2E" w:rsidP="009C3B2E">
      <w:pPr>
        <w:overflowPunct w:val="0"/>
        <w:autoSpaceDE w:val="0"/>
        <w:autoSpaceDN w:val="0"/>
        <w:adjustRightInd w:val="0"/>
        <w:spacing w:after="120" w:line="240" w:lineRule="auto"/>
        <w:jc w:val="both"/>
        <w:textAlignment w:val="baseline"/>
        <w:rPr>
          <w:rStyle w:val="Hypertextovodkaz"/>
          <w:rFonts w:ascii="Arial" w:hAnsi="Arial" w:cs="Arial"/>
          <w:sz w:val="20"/>
          <w:szCs w:val="20"/>
        </w:rPr>
      </w:pPr>
      <w:r w:rsidRPr="009C3B2E">
        <w:rPr>
          <w:rFonts w:ascii="Arial" w:hAnsi="Arial" w:cs="Arial"/>
          <w:sz w:val="20"/>
          <w:szCs w:val="20"/>
        </w:rPr>
        <w:t xml:space="preserve">Při převzetí této dokumentace bude disk zkontrolován na odkazu </w:t>
      </w:r>
      <w:hyperlink r:id="rId8" w:history="1">
        <w:r w:rsidRPr="009C3B2E">
          <w:rPr>
            <w:rStyle w:val="Hypertextovodkaz"/>
            <w:rFonts w:ascii="Arial" w:hAnsi="Arial" w:cs="Arial"/>
            <w:sz w:val="20"/>
            <w:szCs w:val="20"/>
          </w:rPr>
          <w:t>Datový předpis XC4</w:t>
        </w:r>
      </w:hyperlink>
      <w:r w:rsidRPr="009C3B2E">
        <w:rPr>
          <w:rStyle w:val="Hypertextovodkaz"/>
          <w:rFonts w:ascii="Arial" w:hAnsi="Arial" w:cs="Arial"/>
          <w:sz w:val="20"/>
          <w:szCs w:val="20"/>
        </w:rPr>
        <w:t xml:space="preserve">: </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sz w:val="20"/>
          <w:szCs w:val="20"/>
        </w:rPr>
      </w:pPr>
      <w:r w:rsidRPr="009C3B2E">
        <w:rPr>
          <w:rStyle w:val="Hypertextovodkaz"/>
          <w:rFonts w:ascii="Arial" w:hAnsi="Arial" w:cs="Arial"/>
          <w:sz w:val="20"/>
          <w:szCs w:val="20"/>
        </w:rPr>
        <w:t>výsledek kontroly musí být vždy „</w:t>
      </w:r>
      <w:r w:rsidRPr="009C3B2E">
        <w:rPr>
          <w:rFonts w:ascii="Arial" w:hAnsi="Arial" w:cs="Arial"/>
          <w:sz w:val="20"/>
          <w:szCs w:val="20"/>
          <w:u w:val="single"/>
        </w:rPr>
        <w:t>Soubor odpovídá schématu XC4 – SP</w:t>
      </w:r>
      <w:r w:rsidRPr="009C3B2E">
        <w:rPr>
          <w:rFonts w:ascii="Arial" w:hAnsi="Arial" w:cs="Arial"/>
          <w:sz w:val="20"/>
          <w:szCs w:val="20"/>
        </w:rPr>
        <w:t xml:space="preserve">“. </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sz w:val="20"/>
          <w:szCs w:val="20"/>
        </w:rPr>
      </w:pPr>
    </w:p>
    <w:p w:rsidR="009C3B2E" w:rsidRPr="009C3B2E" w:rsidRDefault="009C3B2E" w:rsidP="009C3B2E">
      <w:pPr>
        <w:rPr>
          <w:rFonts w:ascii="Arial" w:hAnsi="Arial" w:cs="Arial"/>
          <w:b/>
          <w:sz w:val="20"/>
          <w:szCs w:val="20"/>
          <w:u w:val="single"/>
        </w:rPr>
      </w:pPr>
      <w:r w:rsidRPr="009C3B2E">
        <w:rPr>
          <w:rFonts w:ascii="Arial" w:hAnsi="Arial" w:cs="Arial"/>
          <w:b/>
          <w:sz w:val="20"/>
          <w:szCs w:val="20"/>
          <w:u w:val="single"/>
        </w:rPr>
        <w:t>Výkon dozoru projektanta</w:t>
      </w:r>
    </w:p>
    <w:p w:rsidR="009C3B2E" w:rsidRPr="009C3B2E" w:rsidRDefault="009C3B2E" w:rsidP="009C3B2E">
      <w:pPr>
        <w:suppressAutoHyphens/>
        <w:spacing w:after="240"/>
        <w:jc w:val="both"/>
        <w:rPr>
          <w:rFonts w:ascii="Arial" w:eastAsia="Times New Roman" w:hAnsi="Arial" w:cs="Arial"/>
          <w:sz w:val="20"/>
          <w:szCs w:val="20"/>
          <w:lang w:eastAsia="ar-SA"/>
        </w:rPr>
      </w:pPr>
      <w:r w:rsidRPr="009C3B2E">
        <w:rPr>
          <w:rFonts w:ascii="Arial" w:eastAsia="Times New Roman" w:hAnsi="Arial" w:cs="Arial"/>
          <w:sz w:val="20"/>
          <w:szCs w:val="20"/>
          <w:lang w:eastAsia="ar-SA"/>
        </w:rPr>
        <w:t xml:space="preserve">Výkonem dozoru projektanta se rozumí uskutečnění činností předpokládaných obecně závaznými právními předpisy a vyžadovaných objektivní stavebně-technickou situací, jakožto součinnost autora při realizaci stavby podle zpracovaného projektu. V rámci výkonu dozoru projektanta je zhotovitel povinen zejména provádět pravidelnou kontrolu postupu realizace podle zpracovaného projektu, podávat vysvětlení a pokyny pro realizaci stavby. V případě potřeby provést přepracování nebo doplnění projektové dokumentace. </w:t>
      </w:r>
    </w:p>
    <w:p w:rsidR="009C3B2E" w:rsidRPr="009C3B2E" w:rsidRDefault="009C3B2E" w:rsidP="009C3B2E">
      <w:pPr>
        <w:suppressAutoHyphens/>
        <w:spacing w:after="240"/>
        <w:jc w:val="both"/>
        <w:rPr>
          <w:rFonts w:ascii="Arial" w:eastAsia="Times New Roman" w:hAnsi="Arial" w:cs="Arial"/>
          <w:sz w:val="20"/>
          <w:szCs w:val="20"/>
          <w:lang w:eastAsia="ar-SA"/>
        </w:rPr>
      </w:pPr>
      <w:r w:rsidRPr="009C3B2E">
        <w:rPr>
          <w:rFonts w:ascii="Arial" w:eastAsia="Times New Roman" w:hAnsi="Arial" w:cs="Arial"/>
          <w:sz w:val="20"/>
          <w:szCs w:val="20"/>
          <w:lang w:eastAsia="ar-SA"/>
        </w:rPr>
        <w:t>Zhotovitel je povinen při plnění dozoru projektanta poskytnout svoji součinnost vždy bezodkladně poté, kdy bude k tomu zadavatelem vyzván nebo poté, kdy takovou potřebu sám zjistí.</w:t>
      </w:r>
    </w:p>
    <w:p w:rsidR="009C3B2E" w:rsidRPr="009C3B2E" w:rsidRDefault="009C3B2E" w:rsidP="009C3B2E">
      <w:pPr>
        <w:suppressAutoHyphens/>
        <w:spacing w:after="0"/>
        <w:jc w:val="both"/>
        <w:rPr>
          <w:rFonts w:ascii="Arial" w:eastAsia="Times New Roman" w:hAnsi="Arial" w:cs="Arial"/>
          <w:b/>
          <w:sz w:val="20"/>
          <w:szCs w:val="20"/>
          <w:lang w:eastAsia="ar-SA"/>
        </w:rPr>
      </w:pPr>
      <w:r w:rsidRPr="009C3B2E">
        <w:rPr>
          <w:rFonts w:ascii="Arial" w:eastAsia="Times New Roman" w:hAnsi="Arial" w:cs="Arial"/>
          <w:b/>
          <w:sz w:val="20"/>
          <w:szCs w:val="20"/>
          <w:lang w:eastAsia="ar-SA"/>
        </w:rPr>
        <w:t>Předmětem výkonu dozoru projektanta je především:</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účastnit se předání staveniště zhotoviteli</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dohled nad realizací díla</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kontrola dodržování projektové dokumentace s přihlédnutím na podmínky určené povolením stavby, souhlasem stavebního úřadu, případně nařízením nezbytných stavebních úprav</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posuzování postupu výstavby z technického hlediska a z hlediska časového plánu výstavby</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sledování a kontrola technických a kvalitativních parametrů stavby</w:t>
      </w:r>
    </w:p>
    <w:p w:rsidR="009C3B2E" w:rsidRPr="009C3B2E" w:rsidRDefault="009C3B2E" w:rsidP="009C3B2E">
      <w:pPr>
        <w:numPr>
          <w:ilvl w:val="0"/>
          <w:numId w:val="23"/>
        </w:numPr>
        <w:tabs>
          <w:tab w:val="num" w:pos="-1560"/>
        </w:tabs>
        <w:spacing w:after="0"/>
        <w:contextualSpacing/>
        <w:jc w:val="both"/>
        <w:rPr>
          <w:rFonts w:ascii="Arial" w:eastAsia="Times New Roman" w:hAnsi="Arial" w:cs="Arial"/>
          <w:bCs/>
          <w:sz w:val="20"/>
          <w:szCs w:val="20"/>
          <w:lang w:eastAsia="cs-CZ"/>
        </w:rPr>
      </w:pPr>
      <w:r w:rsidRPr="009C3B2E">
        <w:rPr>
          <w:rFonts w:ascii="Arial" w:eastAsia="Times New Roman" w:hAnsi="Arial" w:cs="Arial"/>
          <w:sz w:val="20"/>
          <w:szCs w:val="20"/>
          <w:lang w:eastAsia="cs-CZ"/>
        </w:rPr>
        <w:t xml:space="preserve">v případě nutnosti zpracování změny záměru před dokončením dle § 224 stavebního zákona v platném znění, která je součástí výkonu dozoru projektanta jako autora díla, neprodleně po tomto zjištění zahájit projekční práce včetně zajištění všech příslušných vyjádření a dokladů nezbytných k podání žádosti dle § 184 Stavebního zákona v platném </w:t>
      </w:r>
      <w:proofErr w:type="gramStart"/>
      <w:r w:rsidRPr="009C3B2E">
        <w:rPr>
          <w:rFonts w:ascii="Arial" w:eastAsia="Times New Roman" w:hAnsi="Arial" w:cs="Arial"/>
          <w:sz w:val="20"/>
          <w:szCs w:val="20"/>
          <w:lang w:eastAsia="cs-CZ"/>
        </w:rPr>
        <w:t>znění  a dále</w:t>
      </w:r>
      <w:proofErr w:type="gramEnd"/>
      <w:r w:rsidRPr="009C3B2E">
        <w:rPr>
          <w:rFonts w:ascii="Arial" w:eastAsia="Times New Roman" w:hAnsi="Arial" w:cs="Arial"/>
          <w:sz w:val="20"/>
          <w:szCs w:val="20"/>
          <w:lang w:eastAsia="cs-CZ"/>
        </w:rPr>
        <w:t xml:space="preserve"> podání žádosti včetně všech příloh na příslušný stavební úřad. </w:t>
      </w:r>
      <w:r w:rsidRPr="009C3B2E">
        <w:rPr>
          <w:rFonts w:ascii="Arial" w:eastAsia="Times New Roman" w:hAnsi="Arial" w:cs="Arial"/>
          <w:bCs/>
          <w:sz w:val="20"/>
          <w:szCs w:val="20"/>
          <w:lang w:eastAsia="cs-CZ"/>
        </w:rPr>
        <w:t>Před podáním žádostí na příslušný stavební úřad je zhotovitel povinen odsouhlasit si tyto žádosti včetně všech příloh se zástupci objednatele</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řešit drobné odchylky od projektu, které nebudou vyžadovat zpracování nového projektu případně jeho části nebo dodatku projektové dokumentace</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 xml:space="preserve">posuzovat návrhy zadavatele stavby na změny a odchylky v částech projektů zpracovávaných v rámci realizační dokumentace z pohledu dodržení </w:t>
      </w:r>
      <w:proofErr w:type="spellStart"/>
      <w:r w:rsidRPr="009C3B2E">
        <w:rPr>
          <w:rFonts w:ascii="Arial" w:eastAsia="Times New Roman" w:hAnsi="Arial" w:cs="Arial"/>
          <w:sz w:val="20"/>
          <w:szCs w:val="20"/>
          <w:lang w:eastAsia="cs-CZ"/>
        </w:rPr>
        <w:t>technicko-ekonomických</w:t>
      </w:r>
      <w:proofErr w:type="spellEnd"/>
      <w:r w:rsidRPr="009C3B2E">
        <w:rPr>
          <w:rFonts w:ascii="Arial" w:eastAsia="Times New Roman" w:hAnsi="Arial" w:cs="Arial"/>
          <w:sz w:val="20"/>
          <w:szCs w:val="20"/>
          <w:lang w:eastAsia="cs-CZ"/>
        </w:rPr>
        <w:t xml:space="preserve"> parametrů, dodržení lhůt výstavby, případně dalších údajů a ukazatelů</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vyjádření k požadavkům na zvětšený rozsah stavebních prací a dodávek materiálu oproti projektové dokumentaci</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 xml:space="preserve">účast na kontrolních dnech stavby </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lastRenderedPageBreak/>
        <w:t xml:space="preserve">účast na přejímacím řízení stavby a jejích dílčích částech, případné kolaudaci stavby a řádně spolupracovat při těchto řízeních </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provádění projekčních prací menšího rozsahu (doplňky a změny)</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poskytovat technické konzultace potřebné pro plynulost výstavby</w:t>
      </w:r>
    </w:p>
    <w:p w:rsidR="009C3B2E" w:rsidRPr="009C3B2E" w:rsidRDefault="009C3B2E" w:rsidP="009C3B2E">
      <w:pPr>
        <w:numPr>
          <w:ilvl w:val="0"/>
          <w:numId w:val="23"/>
        </w:numPr>
        <w:tabs>
          <w:tab w:val="num" w:pos="426"/>
          <w:tab w:val="num" w:pos="567"/>
        </w:tabs>
        <w:spacing w:after="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konzultovat a podávat upřesnění při vypracování realizační dokumentace</w:t>
      </w:r>
    </w:p>
    <w:p w:rsidR="009C3B2E" w:rsidRPr="009C3B2E" w:rsidRDefault="009C3B2E" w:rsidP="009C3B2E">
      <w:pPr>
        <w:numPr>
          <w:ilvl w:val="0"/>
          <w:numId w:val="23"/>
        </w:numPr>
        <w:tabs>
          <w:tab w:val="num" w:pos="426"/>
          <w:tab w:val="num" w:pos="567"/>
        </w:tabs>
        <w:spacing w:after="120"/>
        <w:jc w:val="both"/>
        <w:rPr>
          <w:rFonts w:ascii="Arial" w:eastAsia="Times New Roman" w:hAnsi="Arial" w:cs="Arial"/>
          <w:sz w:val="20"/>
          <w:szCs w:val="20"/>
          <w:lang w:eastAsia="cs-CZ"/>
        </w:rPr>
      </w:pPr>
      <w:r w:rsidRPr="009C3B2E">
        <w:rPr>
          <w:rFonts w:ascii="Arial" w:eastAsia="Times New Roman" w:hAnsi="Arial" w:cs="Arial"/>
          <w:sz w:val="20"/>
          <w:szCs w:val="20"/>
          <w:lang w:eastAsia="cs-CZ"/>
        </w:rPr>
        <w:t>zapisovat své návštěvy, prohlídky a posouzení stavby ve stavebním deníku, kam bude také uvádět jím zjištěné nedostatky a navržená opatření, pokud není výše dohodnuto jinak</w:t>
      </w:r>
    </w:p>
    <w:p w:rsidR="009C3B2E" w:rsidRPr="009C3B2E" w:rsidRDefault="009C3B2E" w:rsidP="009C3B2E">
      <w:pPr>
        <w:tabs>
          <w:tab w:val="left" w:pos="567"/>
        </w:tabs>
        <w:suppressAutoHyphens/>
        <w:spacing w:after="240"/>
        <w:jc w:val="both"/>
        <w:rPr>
          <w:rFonts w:ascii="Arial" w:eastAsia="Times New Roman" w:hAnsi="Arial" w:cs="Arial"/>
          <w:iCs/>
          <w:sz w:val="20"/>
          <w:szCs w:val="20"/>
          <w:lang w:eastAsia="ar-SA"/>
        </w:rPr>
      </w:pPr>
      <w:r w:rsidRPr="009C3B2E">
        <w:rPr>
          <w:rFonts w:ascii="Arial" w:eastAsia="Times New Roman" w:hAnsi="Arial" w:cs="Arial"/>
          <w:iCs/>
          <w:sz w:val="20"/>
          <w:szCs w:val="20"/>
          <w:lang w:eastAsia="ar-SA"/>
        </w:rPr>
        <w:t>Zjistí-li autor při výkonu dozoru projektanta nedodržení projektové dokumentace stavby, uvědomí bez zbytečného odkladu o této skutečnosti zadavatele a zhotovitele stavby. V odůvodněných případech uvede stručnou charakteristiku porušení dokumentace a tomu odpovídající důsledky.</w:t>
      </w:r>
    </w:p>
    <w:p w:rsidR="009C3B2E" w:rsidRPr="009C3B2E" w:rsidRDefault="009C3B2E" w:rsidP="009C3B2E">
      <w:pPr>
        <w:overflowPunct w:val="0"/>
        <w:autoSpaceDE w:val="0"/>
        <w:autoSpaceDN w:val="0"/>
        <w:adjustRightInd w:val="0"/>
        <w:spacing w:after="120"/>
        <w:jc w:val="both"/>
        <w:textAlignment w:val="baseline"/>
        <w:rPr>
          <w:rFonts w:ascii="Arial" w:hAnsi="Arial" w:cs="Arial"/>
          <w:sz w:val="20"/>
          <w:szCs w:val="20"/>
          <w:highlight w:val="yellow"/>
        </w:rPr>
      </w:pPr>
      <w:r w:rsidRPr="009C3B2E">
        <w:rPr>
          <w:rFonts w:ascii="Arial" w:hAnsi="Arial" w:cs="Arial"/>
          <w:sz w:val="20"/>
          <w:szCs w:val="20"/>
        </w:rPr>
        <w:t>Dozor projektanta bude vykonáván na vyžádání ze strany zadavatele. Předmět, termín a místo výkonu dozoru projektanta budou dohodnuty vždy individuálně při každé výzvě zadavatele.</w:t>
      </w:r>
    </w:p>
    <w:p w:rsidR="009C3B2E" w:rsidRPr="009C3B2E" w:rsidRDefault="009C3B2E" w:rsidP="009C3B2E">
      <w:pPr>
        <w:overflowPunct w:val="0"/>
        <w:autoSpaceDE w:val="0"/>
        <w:autoSpaceDN w:val="0"/>
        <w:adjustRightInd w:val="0"/>
        <w:spacing w:after="120" w:line="240" w:lineRule="auto"/>
        <w:jc w:val="both"/>
        <w:textAlignment w:val="baseline"/>
        <w:rPr>
          <w:rFonts w:ascii="Arial" w:hAnsi="Arial" w:cs="Arial"/>
          <w:sz w:val="20"/>
          <w:szCs w:val="20"/>
          <w:highlight w:val="yellow"/>
        </w:rPr>
      </w:pPr>
    </w:p>
    <w:p w:rsidR="009C3B2E" w:rsidRPr="009C3B2E" w:rsidRDefault="009C3B2E" w:rsidP="009C3B2E">
      <w:pPr>
        <w:rPr>
          <w:rFonts w:ascii="Arial" w:hAnsi="Arial" w:cs="Arial"/>
          <w:b/>
          <w:sz w:val="20"/>
          <w:szCs w:val="20"/>
          <w:u w:val="single"/>
        </w:rPr>
      </w:pPr>
      <w:r w:rsidRPr="009C3B2E">
        <w:rPr>
          <w:rFonts w:ascii="Arial" w:hAnsi="Arial" w:cs="Arial"/>
          <w:b/>
          <w:sz w:val="20"/>
          <w:szCs w:val="20"/>
          <w:u w:val="single"/>
        </w:rPr>
        <w:t>Místo plnění/realizace</w:t>
      </w:r>
    </w:p>
    <w:p w:rsidR="009C3B2E" w:rsidRPr="009C3B2E" w:rsidRDefault="009C3B2E" w:rsidP="009C3B2E">
      <w:pPr>
        <w:rPr>
          <w:rFonts w:ascii="Arial" w:hAnsi="Arial" w:cs="Arial"/>
          <w:sz w:val="20"/>
          <w:szCs w:val="20"/>
        </w:rPr>
      </w:pPr>
      <w:r w:rsidRPr="009C3B2E">
        <w:rPr>
          <w:rFonts w:ascii="Arial" w:hAnsi="Arial" w:cs="Arial"/>
          <w:sz w:val="20"/>
          <w:szCs w:val="20"/>
        </w:rPr>
        <w:t>Místo stavby – Kraj Vysočina, okres Jihlava, obec Mrákotín</w:t>
      </w:r>
    </w:p>
    <w:p w:rsidR="009C3B2E" w:rsidRPr="009C3B2E" w:rsidRDefault="009C3B2E" w:rsidP="009C3B2E">
      <w:pPr>
        <w:rPr>
          <w:rFonts w:ascii="Arial" w:hAnsi="Arial" w:cs="Arial"/>
          <w:b/>
          <w:sz w:val="20"/>
          <w:szCs w:val="20"/>
          <w:u w:val="single"/>
        </w:rPr>
      </w:pPr>
      <w:r w:rsidRPr="009C3B2E">
        <w:rPr>
          <w:rFonts w:ascii="Arial" w:hAnsi="Arial" w:cs="Arial"/>
          <w:b/>
          <w:sz w:val="20"/>
          <w:szCs w:val="20"/>
          <w:u w:val="single"/>
        </w:rPr>
        <w:t>Veřejný provoz</w:t>
      </w:r>
    </w:p>
    <w:p w:rsidR="009C3B2E" w:rsidRPr="009C3B2E" w:rsidRDefault="009C3B2E" w:rsidP="009C3B2E">
      <w:pPr>
        <w:rPr>
          <w:rFonts w:ascii="Arial" w:hAnsi="Arial" w:cs="Arial"/>
          <w:sz w:val="20"/>
          <w:szCs w:val="20"/>
        </w:rPr>
      </w:pPr>
      <w:r w:rsidRPr="009C3B2E">
        <w:rPr>
          <w:rFonts w:ascii="Arial" w:hAnsi="Arial" w:cs="Arial"/>
          <w:sz w:val="20"/>
          <w:szCs w:val="20"/>
        </w:rPr>
        <w:t>Zadavatel předpokládá, že projektovaná rekonstrukce bude probíhat za úplné uzavírky silničního provozu.</w:t>
      </w:r>
    </w:p>
    <w:p w:rsidR="009C3B2E" w:rsidRPr="009C3B2E" w:rsidRDefault="009C3B2E" w:rsidP="009C3B2E">
      <w:pPr>
        <w:rPr>
          <w:rFonts w:ascii="Arial" w:hAnsi="Arial" w:cs="Arial"/>
          <w:b/>
          <w:sz w:val="20"/>
          <w:szCs w:val="20"/>
          <w:u w:val="single"/>
        </w:rPr>
      </w:pPr>
      <w:r w:rsidRPr="009C3B2E">
        <w:rPr>
          <w:rFonts w:ascii="Arial" w:hAnsi="Arial" w:cs="Arial"/>
          <w:b/>
          <w:sz w:val="20"/>
          <w:szCs w:val="20"/>
          <w:u w:val="single"/>
        </w:rPr>
        <w:t xml:space="preserve">Seznam </w:t>
      </w:r>
      <w:proofErr w:type="spellStart"/>
      <w:r w:rsidRPr="009C3B2E">
        <w:rPr>
          <w:rFonts w:ascii="Arial" w:hAnsi="Arial" w:cs="Arial"/>
          <w:b/>
          <w:sz w:val="20"/>
          <w:szCs w:val="20"/>
          <w:u w:val="single"/>
        </w:rPr>
        <w:t>poskytnutných</w:t>
      </w:r>
      <w:proofErr w:type="spellEnd"/>
      <w:r w:rsidRPr="009C3B2E">
        <w:rPr>
          <w:rFonts w:ascii="Arial" w:hAnsi="Arial" w:cs="Arial"/>
          <w:b/>
          <w:sz w:val="20"/>
          <w:szCs w:val="20"/>
          <w:u w:val="single"/>
        </w:rPr>
        <w:t xml:space="preserve"> podkladů</w:t>
      </w:r>
    </w:p>
    <w:p w:rsidR="009C3B2E" w:rsidRPr="009C3B2E" w:rsidRDefault="009C3B2E" w:rsidP="009C3B2E">
      <w:pPr>
        <w:pStyle w:val="3"/>
        <w:spacing w:before="120" w:line="276" w:lineRule="auto"/>
        <w:rPr>
          <w:rFonts w:ascii="Arial" w:hAnsi="Arial" w:cs="Arial"/>
          <w:sz w:val="20"/>
          <w:szCs w:val="20"/>
        </w:rPr>
      </w:pPr>
      <w:r w:rsidRPr="009C3B2E">
        <w:rPr>
          <w:rFonts w:ascii="Arial" w:hAnsi="Arial" w:cs="Arial"/>
          <w:sz w:val="20"/>
          <w:szCs w:val="20"/>
        </w:rPr>
        <w:t>Situace širších vztahů a doplňující situace</w:t>
      </w:r>
    </w:p>
    <w:p w:rsidR="009C3B2E" w:rsidRPr="009C3B2E" w:rsidRDefault="009C3B2E" w:rsidP="009C3B2E">
      <w:pPr>
        <w:spacing w:before="120" w:after="120"/>
        <w:rPr>
          <w:rFonts w:ascii="Arial" w:hAnsi="Arial" w:cs="Arial"/>
          <w:sz w:val="20"/>
          <w:szCs w:val="20"/>
        </w:rPr>
      </w:pPr>
      <w:r w:rsidRPr="009C3B2E">
        <w:rPr>
          <w:rFonts w:ascii="Arial" w:hAnsi="Arial" w:cs="Arial"/>
          <w:sz w:val="20"/>
          <w:szCs w:val="20"/>
        </w:rPr>
        <w:t xml:space="preserve">Zaměření hráze rybníka </w:t>
      </w:r>
      <w:proofErr w:type="spellStart"/>
      <w:r w:rsidRPr="009C3B2E">
        <w:rPr>
          <w:rFonts w:ascii="Arial" w:hAnsi="Arial" w:cs="Arial"/>
          <w:sz w:val="20"/>
          <w:szCs w:val="20"/>
        </w:rPr>
        <w:t>Řibřid</w:t>
      </w:r>
      <w:proofErr w:type="spellEnd"/>
    </w:p>
    <w:p w:rsidR="009C3B2E" w:rsidRPr="009C3B2E" w:rsidRDefault="009C3B2E" w:rsidP="009C3B2E">
      <w:pPr>
        <w:pStyle w:val="3"/>
        <w:spacing w:before="120" w:line="276" w:lineRule="auto"/>
        <w:rPr>
          <w:rFonts w:ascii="Arial" w:hAnsi="Arial" w:cs="Arial"/>
          <w:sz w:val="20"/>
          <w:szCs w:val="20"/>
        </w:rPr>
      </w:pPr>
      <w:r w:rsidRPr="009C3B2E">
        <w:rPr>
          <w:rFonts w:ascii="Arial" w:hAnsi="Arial" w:cs="Arial"/>
          <w:sz w:val="20"/>
          <w:szCs w:val="20"/>
        </w:rPr>
        <w:t xml:space="preserve">Vyhodnocení provedených průzkumů – geotechnické a geofyzikální (Geotechnické a geofyzikální posouzení hráze rybníka v Mrákotíně, Projekce </w:t>
      </w:r>
      <w:proofErr w:type="spellStart"/>
      <w:r w:rsidRPr="009C3B2E">
        <w:rPr>
          <w:rFonts w:ascii="Arial" w:hAnsi="Arial" w:cs="Arial"/>
          <w:sz w:val="20"/>
          <w:szCs w:val="20"/>
        </w:rPr>
        <w:t>iGEO</w:t>
      </w:r>
      <w:proofErr w:type="spellEnd"/>
      <w:r w:rsidRPr="009C3B2E">
        <w:rPr>
          <w:rFonts w:ascii="Arial" w:hAnsi="Arial" w:cs="Arial"/>
          <w:sz w:val="20"/>
          <w:szCs w:val="20"/>
        </w:rPr>
        <w:t xml:space="preserve"> s.r.o., duben 2024)</w:t>
      </w:r>
    </w:p>
    <w:p w:rsidR="009C3B2E" w:rsidRPr="009C3B2E" w:rsidRDefault="009C3B2E" w:rsidP="009C3B2E">
      <w:pPr>
        <w:pStyle w:val="3"/>
        <w:spacing w:before="120" w:line="276" w:lineRule="auto"/>
        <w:rPr>
          <w:rFonts w:ascii="Arial" w:hAnsi="Arial" w:cs="Arial"/>
          <w:sz w:val="20"/>
          <w:szCs w:val="20"/>
        </w:rPr>
      </w:pPr>
      <w:r w:rsidRPr="009C3B2E">
        <w:rPr>
          <w:rFonts w:ascii="Arial" w:hAnsi="Arial" w:cs="Arial"/>
          <w:sz w:val="20"/>
          <w:szCs w:val="20"/>
        </w:rPr>
        <w:t xml:space="preserve">Část PD rekonstrukce výpustného zařízení rybníka </w:t>
      </w:r>
      <w:proofErr w:type="spellStart"/>
      <w:r w:rsidRPr="009C3B2E">
        <w:rPr>
          <w:rFonts w:ascii="Arial" w:hAnsi="Arial" w:cs="Arial"/>
          <w:sz w:val="20"/>
          <w:szCs w:val="20"/>
        </w:rPr>
        <w:t>Řibřid</w:t>
      </w:r>
      <w:proofErr w:type="spellEnd"/>
    </w:p>
    <w:p w:rsidR="009C3B2E" w:rsidRPr="009C3B2E" w:rsidRDefault="009C3B2E" w:rsidP="009C3B2E">
      <w:pPr>
        <w:pStyle w:val="3"/>
        <w:spacing w:before="120" w:line="276" w:lineRule="auto"/>
        <w:rPr>
          <w:rFonts w:ascii="Arial" w:hAnsi="Arial" w:cs="Arial"/>
          <w:sz w:val="20"/>
          <w:szCs w:val="20"/>
        </w:rPr>
      </w:pPr>
      <w:r w:rsidRPr="009C3B2E">
        <w:rPr>
          <w:rFonts w:ascii="Arial" w:hAnsi="Arial" w:cs="Arial"/>
          <w:sz w:val="20"/>
          <w:szCs w:val="20"/>
        </w:rPr>
        <w:t>Mostní list mostu ev. č. 40614-2</w:t>
      </w:r>
    </w:p>
    <w:p w:rsidR="009C3B2E" w:rsidRPr="009C3B2E" w:rsidRDefault="009C3B2E" w:rsidP="009C3B2E">
      <w:pPr>
        <w:pStyle w:val="3"/>
        <w:spacing w:before="120" w:line="276" w:lineRule="auto"/>
        <w:rPr>
          <w:rFonts w:ascii="Arial" w:hAnsi="Arial" w:cs="Arial"/>
          <w:sz w:val="20"/>
          <w:szCs w:val="20"/>
        </w:rPr>
      </w:pPr>
      <w:r w:rsidRPr="009C3B2E">
        <w:rPr>
          <w:rFonts w:ascii="Arial" w:hAnsi="Arial" w:cs="Arial"/>
          <w:sz w:val="20"/>
          <w:szCs w:val="20"/>
        </w:rPr>
        <w:t>Poslední provedená hlavní prohlídka mostu ev. č. 40614-2 (08/2021)</w:t>
      </w:r>
    </w:p>
    <w:p w:rsidR="009C3B2E" w:rsidRPr="009C3B2E" w:rsidRDefault="009C3B2E" w:rsidP="009C3B2E">
      <w:pPr>
        <w:spacing w:before="240"/>
        <w:rPr>
          <w:rFonts w:ascii="Arial" w:hAnsi="Arial" w:cs="Arial"/>
          <w:b/>
          <w:sz w:val="20"/>
          <w:szCs w:val="20"/>
          <w:u w:val="single"/>
        </w:rPr>
      </w:pPr>
    </w:p>
    <w:p w:rsidR="009C3B2E" w:rsidRPr="009C3B2E" w:rsidRDefault="009C3B2E" w:rsidP="009C3B2E">
      <w:pPr>
        <w:spacing w:before="240"/>
        <w:rPr>
          <w:rFonts w:ascii="Arial" w:hAnsi="Arial" w:cs="Arial"/>
          <w:b/>
          <w:sz w:val="20"/>
          <w:szCs w:val="20"/>
          <w:u w:val="single"/>
        </w:rPr>
      </w:pPr>
    </w:p>
    <w:p w:rsidR="009C3B2E" w:rsidRDefault="009C3B2E" w:rsidP="009C3B2E">
      <w:pPr>
        <w:spacing w:before="240"/>
        <w:rPr>
          <w:rFonts w:ascii="Arial" w:hAnsi="Arial" w:cs="Arial"/>
          <w:b/>
          <w:sz w:val="20"/>
          <w:szCs w:val="20"/>
          <w:u w:val="single"/>
        </w:rPr>
      </w:pPr>
    </w:p>
    <w:p w:rsidR="009C3B2E" w:rsidRDefault="009C3B2E" w:rsidP="009C3B2E">
      <w:pPr>
        <w:spacing w:before="240"/>
        <w:rPr>
          <w:rFonts w:ascii="Arial" w:hAnsi="Arial" w:cs="Arial"/>
          <w:b/>
          <w:sz w:val="20"/>
          <w:szCs w:val="20"/>
          <w:u w:val="single"/>
        </w:rPr>
      </w:pPr>
    </w:p>
    <w:p w:rsidR="009C3B2E" w:rsidRDefault="009C3B2E" w:rsidP="009C3B2E">
      <w:pPr>
        <w:spacing w:before="240"/>
        <w:rPr>
          <w:rFonts w:ascii="Arial" w:hAnsi="Arial" w:cs="Arial"/>
          <w:b/>
          <w:sz w:val="20"/>
          <w:szCs w:val="20"/>
          <w:u w:val="single"/>
        </w:rPr>
      </w:pPr>
    </w:p>
    <w:p w:rsidR="009C3B2E" w:rsidRDefault="009C3B2E" w:rsidP="009C3B2E">
      <w:pPr>
        <w:spacing w:before="240"/>
        <w:rPr>
          <w:rFonts w:ascii="Arial" w:hAnsi="Arial" w:cs="Arial"/>
          <w:b/>
          <w:sz w:val="20"/>
          <w:szCs w:val="20"/>
          <w:u w:val="single"/>
        </w:rPr>
      </w:pPr>
    </w:p>
    <w:p w:rsidR="009C3B2E" w:rsidRDefault="009C3B2E" w:rsidP="009C3B2E">
      <w:pPr>
        <w:spacing w:before="240"/>
        <w:rPr>
          <w:rFonts w:ascii="Arial" w:hAnsi="Arial" w:cs="Arial"/>
          <w:b/>
          <w:sz w:val="20"/>
          <w:szCs w:val="20"/>
          <w:u w:val="single"/>
        </w:rPr>
      </w:pPr>
    </w:p>
    <w:p w:rsidR="009C3B2E" w:rsidRDefault="009C3B2E" w:rsidP="009C3B2E">
      <w:pPr>
        <w:spacing w:before="240"/>
        <w:rPr>
          <w:rFonts w:ascii="Arial" w:hAnsi="Arial" w:cs="Arial"/>
          <w:b/>
          <w:sz w:val="20"/>
          <w:szCs w:val="20"/>
          <w:u w:val="single"/>
        </w:rPr>
      </w:pPr>
    </w:p>
    <w:p w:rsidR="009C3B2E" w:rsidRPr="009C3B2E" w:rsidRDefault="009C3B2E" w:rsidP="009C3B2E">
      <w:pPr>
        <w:spacing w:before="240"/>
        <w:rPr>
          <w:rFonts w:ascii="Arial" w:hAnsi="Arial" w:cs="Arial"/>
          <w:b/>
          <w:sz w:val="20"/>
          <w:szCs w:val="20"/>
          <w:u w:val="single"/>
        </w:rPr>
      </w:pPr>
    </w:p>
    <w:p w:rsidR="009C3B2E" w:rsidRPr="009C3B2E" w:rsidRDefault="009C3B2E" w:rsidP="009C3B2E">
      <w:pPr>
        <w:spacing w:before="240"/>
        <w:rPr>
          <w:rFonts w:ascii="Arial" w:hAnsi="Arial" w:cs="Arial"/>
          <w:b/>
          <w:sz w:val="20"/>
          <w:szCs w:val="20"/>
          <w:u w:val="single"/>
        </w:rPr>
      </w:pPr>
      <w:r w:rsidRPr="009C3B2E">
        <w:rPr>
          <w:rFonts w:ascii="Arial" w:hAnsi="Arial" w:cs="Arial"/>
          <w:b/>
          <w:sz w:val="20"/>
          <w:szCs w:val="20"/>
          <w:u w:val="single"/>
        </w:rPr>
        <w:lastRenderedPageBreak/>
        <w:t>Lhůty plnění</w:t>
      </w:r>
    </w:p>
    <w:tbl>
      <w:tblPr>
        <w:tblW w:w="9374" w:type="dxa"/>
        <w:tblInd w:w="-214" w:type="dxa"/>
        <w:tblCellMar>
          <w:left w:w="70" w:type="dxa"/>
          <w:right w:w="70" w:type="dxa"/>
        </w:tblCellMar>
        <w:tblLook w:val="04A0" w:firstRow="1" w:lastRow="0" w:firstColumn="1" w:lastColumn="0" w:noHBand="0" w:noVBand="1"/>
      </w:tblPr>
      <w:tblGrid>
        <w:gridCol w:w="4320"/>
        <w:gridCol w:w="5054"/>
      </w:tblGrid>
      <w:tr w:rsidR="009C3B2E" w:rsidRPr="009C3B2E" w:rsidTr="007C1324">
        <w:trPr>
          <w:trHeight w:val="340"/>
        </w:trPr>
        <w:tc>
          <w:tcPr>
            <w:tcW w:w="9374" w:type="dxa"/>
            <w:gridSpan w:val="2"/>
            <w:tcBorders>
              <w:top w:val="single" w:sz="4" w:space="0" w:color="auto"/>
              <w:left w:val="single" w:sz="4" w:space="0" w:color="auto"/>
              <w:bottom w:val="single" w:sz="4" w:space="0" w:color="auto"/>
              <w:right w:val="single" w:sz="4" w:space="0" w:color="auto"/>
            </w:tcBorders>
            <w:shd w:val="clear" w:color="000000" w:fill="FFCC00"/>
            <w:noWrap/>
            <w:vAlign w:val="center"/>
            <w:hideMark/>
          </w:tcPr>
          <w:p w:rsidR="009C3B2E" w:rsidRPr="009C3B2E" w:rsidRDefault="009C3B2E" w:rsidP="007C1324">
            <w:pPr>
              <w:spacing w:after="0" w:line="312" w:lineRule="auto"/>
              <w:jc w:val="center"/>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Lhůty plnění:</w:t>
            </w:r>
          </w:p>
        </w:tc>
      </w:tr>
      <w:tr w:rsidR="009C3B2E" w:rsidRPr="009C3B2E" w:rsidTr="007C1324">
        <w:trPr>
          <w:trHeight w:val="99"/>
        </w:trPr>
        <w:tc>
          <w:tcPr>
            <w:tcW w:w="4320" w:type="dxa"/>
            <w:tcBorders>
              <w:top w:val="nil"/>
              <w:left w:val="nil"/>
              <w:bottom w:val="nil"/>
              <w:right w:val="nil"/>
            </w:tcBorders>
            <w:shd w:val="clear" w:color="auto" w:fill="auto"/>
            <w:noWrap/>
            <w:hideMark/>
          </w:tcPr>
          <w:p w:rsidR="009C3B2E" w:rsidRPr="009C3B2E" w:rsidRDefault="009C3B2E" w:rsidP="007C1324">
            <w:pPr>
              <w:spacing w:after="0" w:line="312" w:lineRule="auto"/>
              <w:rPr>
                <w:rFonts w:ascii="Arial" w:eastAsia="Times New Roman" w:hAnsi="Arial" w:cs="Arial"/>
                <w:color w:val="000000"/>
                <w:sz w:val="20"/>
                <w:szCs w:val="20"/>
                <w:lang w:eastAsia="cs-CZ"/>
              </w:rPr>
            </w:pPr>
          </w:p>
        </w:tc>
        <w:tc>
          <w:tcPr>
            <w:tcW w:w="5054" w:type="dxa"/>
            <w:tcBorders>
              <w:top w:val="nil"/>
              <w:left w:val="nil"/>
              <w:bottom w:val="nil"/>
              <w:right w:val="nil"/>
            </w:tcBorders>
            <w:shd w:val="clear" w:color="auto" w:fill="auto"/>
            <w:noWrap/>
            <w:hideMark/>
          </w:tcPr>
          <w:p w:rsidR="009C3B2E" w:rsidRPr="009C3B2E" w:rsidRDefault="009C3B2E" w:rsidP="007C1324">
            <w:pPr>
              <w:spacing w:after="0" w:line="312" w:lineRule="auto"/>
              <w:rPr>
                <w:rFonts w:ascii="Arial" w:eastAsia="Times New Roman" w:hAnsi="Arial" w:cs="Arial"/>
                <w:sz w:val="20"/>
                <w:szCs w:val="20"/>
                <w:lang w:eastAsia="cs-CZ"/>
              </w:rPr>
            </w:pPr>
          </w:p>
        </w:tc>
      </w:tr>
      <w:tr w:rsidR="009C3B2E" w:rsidRPr="009C3B2E" w:rsidTr="007C1324">
        <w:trPr>
          <w:trHeight w:val="99"/>
        </w:trPr>
        <w:tc>
          <w:tcPr>
            <w:tcW w:w="4320" w:type="dxa"/>
            <w:tcBorders>
              <w:top w:val="nil"/>
              <w:left w:val="nil"/>
              <w:bottom w:val="nil"/>
              <w:right w:val="nil"/>
            </w:tcBorders>
            <w:shd w:val="clear" w:color="auto" w:fill="auto"/>
            <w:noWrap/>
          </w:tcPr>
          <w:p w:rsidR="009C3B2E" w:rsidRPr="009C3B2E" w:rsidRDefault="009C3B2E" w:rsidP="007C1324">
            <w:pPr>
              <w:spacing w:after="0" w:line="312" w:lineRule="auto"/>
              <w:rPr>
                <w:rFonts w:ascii="Arial" w:eastAsia="Times New Roman" w:hAnsi="Arial" w:cs="Arial"/>
                <w:color w:val="000000"/>
                <w:sz w:val="20"/>
                <w:szCs w:val="20"/>
                <w:lang w:eastAsia="cs-CZ"/>
              </w:rPr>
            </w:pPr>
          </w:p>
        </w:tc>
        <w:tc>
          <w:tcPr>
            <w:tcW w:w="5054" w:type="dxa"/>
            <w:tcBorders>
              <w:top w:val="nil"/>
              <w:left w:val="nil"/>
              <w:bottom w:val="nil"/>
              <w:right w:val="nil"/>
            </w:tcBorders>
            <w:shd w:val="clear" w:color="auto" w:fill="auto"/>
            <w:noWrap/>
          </w:tcPr>
          <w:p w:rsidR="009C3B2E" w:rsidRPr="009C3B2E" w:rsidRDefault="009C3B2E" w:rsidP="007C1324">
            <w:pPr>
              <w:spacing w:after="0" w:line="312" w:lineRule="auto"/>
              <w:rPr>
                <w:rFonts w:ascii="Arial" w:eastAsia="Times New Roman" w:hAnsi="Arial" w:cs="Arial"/>
                <w:sz w:val="20"/>
                <w:szCs w:val="20"/>
                <w:lang w:eastAsia="cs-CZ"/>
              </w:rPr>
            </w:pPr>
          </w:p>
        </w:tc>
      </w:tr>
      <w:tr w:rsidR="009C3B2E" w:rsidRPr="009C3B2E" w:rsidTr="007C1324">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Zahájení realizace</w:t>
            </w:r>
          </w:p>
        </w:tc>
        <w:tc>
          <w:tcPr>
            <w:tcW w:w="5054" w:type="dxa"/>
            <w:tcBorders>
              <w:top w:val="single" w:sz="4" w:space="0" w:color="auto"/>
              <w:left w:val="nil"/>
              <w:bottom w:val="single" w:sz="4" w:space="0" w:color="auto"/>
              <w:right w:val="single" w:sz="4" w:space="0" w:color="auto"/>
            </w:tcBorders>
            <w:shd w:val="clear" w:color="auto" w:fill="auto"/>
            <w:vAlign w:val="bottom"/>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ihned po nabytí účinnosti smlouvy</w:t>
            </w:r>
          </w:p>
        </w:tc>
      </w:tr>
      <w:tr w:rsidR="009C3B2E" w:rsidRPr="009C3B2E" w:rsidTr="007C1324">
        <w:trPr>
          <w:trHeight w:val="20"/>
        </w:trPr>
        <w:tc>
          <w:tcPr>
            <w:tcW w:w="4320" w:type="dxa"/>
            <w:tcBorders>
              <w:top w:val="nil"/>
              <w:left w:val="single" w:sz="4" w:space="0" w:color="auto"/>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Návrh technického řešení</w:t>
            </w:r>
          </w:p>
        </w:tc>
        <w:tc>
          <w:tcPr>
            <w:tcW w:w="5054" w:type="dxa"/>
            <w:tcBorders>
              <w:top w:val="nil"/>
              <w:left w:val="nil"/>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 90 dnů od nabytí účinnosti smlouvy</w:t>
            </w:r>
          </w:p>
        </w:tc>
      </w:tr>
      <w:tr w:rsidR="009C3B2E" w:rsidRPr="009C3B2E" w:rsidTr="007C1324">
        <w:trPr>
          <w:trHeight w:val="20"/>
        </w:trPr>
        <w:tc>
          <w:tcPr>
            <w:tcW w:w="4320" w:type="dxa"/>
            <w:tcBorders>
              <w:top w:val="nil"/>
              <w:left w:val="single" w:sz="4" w:space="0" w:color="auto"/>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Dokumentace DPS/DPZ (koncept)</w:t>
            </w:r>
          </w:p>
        </w:tc>
        <w:tc>
          <w:tcPr>
            <w:tcW w:w="5054" w:type="dxa"/>
            <w:tcBorders>
              <w:top w:val="nil"/>
              <w:left w:val="nil"/>
              <w:bottom w:val="single" w:sz="4" w:space="0" w:color="auto"/>
              <w:right w:val="single" w:sz="4" w:space="0" w:color="auto"/>
            </w:tcBorders>
            <w:shd w:val="clear" w:color="auto" w:fill="auto"/>
            <w:vAlign w:val="bottom"/>
            <w:hideMark/>
          </w:tcPr>
          <w:p w:rsidR="009C3B2E" w:rsidRPr="009C3B2E" w:rsidRDefault="009C3B2E" w:rsidP="007C1324">
            <w:pPr>
              <w:spacing w:after="0" w:line="312" w:lineRule="auto"/>
              <w:rPr>
                <w:rFonts w:ascii="Arial" w:hAnsi="Arial" w:cs="Arial"/>
                <w:color w:val="000000"/>
                <w:sz w:val="20"/>
                <w:szCs w:val="20"/>
              </w:rPr>
            </w:pPr>
            <w:r w:rsidRPr="009C3B2E">
              <w:rPr>
                <w:rFonts w:ascii="Arial" w:hAnsi="Arial" w:cs="Arial"/>
                <w:color w:val="000000"/>
                <w:sz w:val="20"/>
                <w:szCs w:val="20"/>
              </w:rPr>
              <w:t xml:space="preserve">do 150 dnů od nabytí účinnosti smlouvy </w:t>
            </w:r>
          </w:p>
        </w:tc>
      </w:tr>
      <w:tr w:rsidR="009C3B2E" w:rsidRPr="009C3B2E" w:rsidTr="007C1324">
        <w:trPr>
          <w:trHeight w:val="20"/>
        </w:trPr>
        <w:tc>
          <w:tcPr>
            <w:tcW w:w="4320" w:type="dxa"/>
            <w:tcBorders>
              <w:top w:val="nil"/>
              <w:left w:val="single" w:sz="4" w:space="0" w:color="auto"/>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sz w:val="20"/>
                <w:szCs w:val="20"/>
                <w:lang w:eastAsia="cs-CZ"/>
              </w:rPr>
            </w:pPr>
            <w:r w:rsidRPr="009C3B2E">
              <w:rPr>
                <w:rFonts w:ascii="Arial" w:eastAsia="Times New Roman" w:hAnsi="Arial" w:cs="Arial"/>
                <w:color w:val="000000"/>
                <w:sz w:val="20"/>
                <w:szCs w:val="20"/>
                <w:lang w:eastAsia="cs-CZ"/>
              </w:rPr>
              <w:t>Dokumentace DPS/DPZ (</w:t>
            </w:r>
            <w:r w:rsidRPr="009C3B2E">
              <w:rPr>
                <w:rFonts w:ascii="Arial" w:eastAsia="Times New Roman" w:hAnsi="Arial" w:cs="Arial"/>
                <w:sz w:val="20"/>
                <w:szCs w:val="20"/>
                <w:lang w:eastAsia="cs-CZ"/>
              </w:rPr>
              <w:t xml:space="preserve">čistopis) </w:t>
            </w:r>
          </w:p>
        </w:tc>
        <w:tc>
          <w:tcPr>
            <w:tcW w:w="5054" w:type="dxa"/>
            <w:tcBorders>
              <w:top w:val="nil"/>
              <w:left w:val="nil"/>
              <w:bottom w:val="single" w:sz="4" w:space="0" w:color="auto"/>
              <w:right w:val="single" w:sz="4" w:space="0" w:color="auto"/>
            </w:tcBorders>
            <w:shd w:val="clear" w:color="auto" w:fill="auto"/>
            <w:vAlign w:val="bottom"/>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 60 dnů od předání konceptu DPS/DPZ</w:t>
            </w:r>
          </w:p>
        </w:tc>
      </w:tr>
      <w:tr w:rsidR="009C3B2E" w:rsidRPr="009C3B2E" w:rsidTr="007C1324">
        <w:trPr>
          <w:trHeight w:val="20"/>
        </w:trPr>
        <w:tc>
          <w:tcPr>
            <w:tcW w:w="4320" w:type="dxa"/>
            <w:tcBorders>
              <w:top w:val="nil"/>
              <w:left w:val="single" w:sz="4" w:space="0" w:color="auto"/>
              <w:bottom w:val="nil"/>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Podání žádosti pro povolení stavebního záměru</w:t>
            </w:r>
          </w:p>
        </w:tc>
        <w:tc>
          <w:tcPr>
            <w:tcW w:w="5054" w:type="dxa"/>
            <w:tcBorders>
              <w:top w:val="nil"/>
              <w:left w:val="nil"/>
              <w:bottom w:val="nil"/>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 14 dnů od předání čistopisu DPS/DPZ</w:t>
            </w:r>
          </w:p>
        </w:tc>
      </w:tr>
      <w:tr w:rsidR="009C3B2E" w:rsidRPr="009C3B2E" w:rsidTr="007C1324">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 xml:space="preserve">Dokumentace PDPS </w:t>
            </w:r>
          </w:p>
        </w:tc>
        <w:tc>
          <w:tcPr>
            <w:tcW w:w="5054" w:type="dxa"/>
            <w:tcBorders>
              <w:top w:val="single" w:sz="4" w:space="0" w:color="auto"/>
              <w:left w:val="nil"/>
              <w:bottom w:val="single" w:sz="4" w:space="0" w:color="auto"/>
              <w:right w:val="single" w:sz="4" w:space="0" w:color="auto"/>
            </w:tcBorders>
            <w:shd w:val="clear" w:color="auto" w:fill="auto"/>
            <w:vAlign w:val="center"/>
            <w:hideMark/>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 60 dnů od vydání pravomocného povolení záměru</w:t>
            </w:r>
          </w:p>
        </w:tc>
      </w:tr>
      <w:tr w:rsidR="009C3B2E" w:rsidRPr="009C3B2E" w:rsidTr="007C1324">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Předpoklad zahájení výkonu dozoru projektanta</w:t>
            </w:r>
          </w:p>
        </w:tc>
        <w:tc>
          <w:tcPr>
            <w:tcW w:w="5054" w:type="dxa"/>
            <w:tcBorders>
              <w:top w:val="single" w:sz="4" w:space="0" w:color="auto"/>
              <w:left w:val="nil"/>
              <w:bottom w:val="single" w:sz="4" w:space="0" w:color="auto"/>
              <w:right w:val="single" w:sz="4" w:space="0" w:color="auto"/>
            </w:tcBorders>
            <w:shd w:val="clear" w:color="auto" w:fill="auto"/>
            <w:vAlign w:val="center"/>
          </w:tcPr>
          <w:p w:rsidR="009C3B2E" w:rsidRPr="009C3B2E" w:rsidRDefault="009C3B2E" w:rsidP="007C1324">
            <w:pPr>
              <w:spacing w:after="0" w:line="312"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 60 měsíců od vydání pravomocného povolení záměru</w:t>
            </w:r>
          </w:p>
        </w:tc>
      </w:tr>
      <w:tr w:rsidR="009C3B2E" w:rsidRPr="009C3B2E" w:rsidTr="007C1324">
        <w:trPr>
          <w:trHeight w:val="20"/>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tcPr>
          <w:p w:rsidR="009C3B2E" w:rsidRPr="009C3B2E" w:rsidRDefault="009C3B2E" w:rsidP="007C1324">
            <w:pPr>
              <w:spacing w:after="0" w:line="240"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Změna záměru (čistopis, včetně soupisu prací, odsouhlasená objednatelem a TDS)</w:t>
            </w:r>
          </w:p>
        </w:tc>
        <w:tc>
          <w:tcPr>
            <w:tcW w:w="5054" w:type="dxa"/>
            <w:tcBorders>
              <w:top w:val="single" w:sz="4" w:space="0" w:color="auto"/>
              <w:left w:val="nil"/>
              <w:bottom w:val="single" w:sz="4" w:space="0" w:color="auto"/>
              <w:right w:val="single" w:sz="4" w:space="0" w:color="auto"/>
            </w:tcBorders>
            <w:shd w:val="clear" w:color="auto" w:fill="auto"/>
            <w:vAlign w:val="center"/>
          </w:tcPr>
          <w:p w:rsidR="009C3B2E" w:rsidRPr="009C3B2E" w:rsidRDefault="009C3B2E" w:rsidP="007C1324">
            <w:pPr>
              <w:spacing w:after="0" w:line="240" w:lineRule="auto"/>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do 15 dnů od zjištění, následně neprodleně zajistit ostatní požadované přílohy</w:t>
            </w:r>
          </w:p>
        </w:tc>
      </w:tr>
    </w:tbl>
    <w:p w:rsidR="009C3B2E" w:rsidRPr="009C3B2E" w:rsidRDefault="009C3B2E" w:rsidP="009C3B2E">
      <w:pPr>
        <w:overflowPunct w:val="0"/>
        <w:autoSpaceDE w:val="0"/>
        <w:autoSpaceDN w:val="0"/>
        <w:adjustRightInd w:val="0"/>
        <w:spacing w:after="0"/>
        <w:textAlignment w:val="baseline"/>
        <w:rPr>
          <w:rFonts w:ascii="Arial" w:eastAsia="Times New Roman" w:hAnsi="Arial" w:cs="Arial"/>
          <w:sz w:val="20"/>
          <w:szCs w:val="20"/>
          <w:lang w:eastAsia="cs-CZ"/>
        </w:rPr>
      </w:pPr>
    </w:p>
    <w:p w:rsidR="009C3B2E" w:rsidRPr="009C3B2E" w:rsidRDefault="009C3B2E" w:rsidP="009C3B2E">
      <w:pPr>
        <w:spacing w:after="0" w:line="312" w:lineRule="auto"/>
        <w:rPr>
          <w:rFonts w:ascii="Arial" w:hAnsi="Arial" w:cs="Arial"/>
          <w:color w:val="000000"/>
          <w:sz w:val="20"/>
          <w:szCs w:val="20"/>
        </w:rPr>
      </w:pPr>
      <w:r w:rsidRPr="009C3B2E">
        <w:rPr>
          <w:rFonts w:ascii="Arial" w:hAnsi="Arial" w:cs="Arial"/>
          <w:color w:val="000000"/>
          <w:sz w:val="20"/>
          <w:szCs w:val="20"/>
        </w:rPr>
        <w:t>* projednání s DOSS (odsouhlasené objednatelem)</w:t>
      </w:r>
    </w:p>
    <w:p w:rsidR="009C3B2E" w:rsidRPr="009C3B2E" w:rsidRDefault="009C3B2E" w:rsidP="009C3B2E">
      <w:pPr>
        <w:spacing w:after="0" w:line="312" w:lineRule="auto"/>
        <w:jc w:val="both"/>
        <w:rPr>
          <w:rFonts w:ascii="Arial" w:eastAsia="Times New Roman" w:hAnsi="Arial" w:cs="Arial"/>
          <w:color w:val="000000"/>
          <w:sz w:val="20"/>
          <w:szCs w:val="20"/>
          <w:lang w:eastAsia="cs-CZ"/>
        </w:rPr>
      </w:pPr>
      <w:r w:rsidRPr="009C3B2E">
        <w:rPr>
          <w:rFonts w:ascii="Arial" w:hAnsi="Arial" w:cs="Arial"/>
          <w:color w:val="000000"/>
          <w:sz w:val="20"/>
          <w:szCs w:val="20"/>
        </w:rPr>
        <w:t>** termín lze prodloužit na základě písemného oznámení zhotovitele v závislosti</w:t>
      </w:r>
      <w:r w:rsidRPr="009C3B2E">
        <w:rPr>
          <w:rFonts w:ascii="Arial" w:eastAsia="Times New Roman" w:hAnsi="Arial" w:cs="Arial"/>
          <w:color w:val="000000"/>
          <w:sz w:val="20"/>
          <w:szCs w:val="20"/>
          <w:lang w:eastAsia="cs-CZ"/>
        </w:rPr>
        <w:t xml:space="preserve"> na dokončení IČ. Datum dokončení IČ, je zhotovitel povinen ohlásit do 3 dnů, od doby, kdy tato skutečnost nastala (byla dokončena IČ) </w:t>
      </w:r>
    </w:p>
    <w:p w:rsidR="009C3B2E" w:rsidRPr="009C3B2E" w:rsidRDefault="009C3B2E" w:rsidP="009C3B2E">
      <w:pPr>
        <w:spacing w:after="0" w:line="312" w:lineRule="auto"/>
        <w:jc w:val="both"/>
        <w:rPr>
          <w:rFonts w:ascii="Arial" w:eastAsia="Times New Roman" w:hAnsi="Arial" w:cs="Arial"/>
          <w:color w:val="000000"/>
          <w:sz w:val="20"/>
          <w:szCs w:val="20"/>
          <w:lang w:eastAsia="cs-CZ"/>
        </w:rPr>
      </w:pPr>
      <w:r w:rsidRPr="009C3B2E">
        <w:rPr>
          <w:rFonts w:ascii="Arial" w:eastAsia="Times New Roman" w:hAnsi="Arial" w:cs="Arial"/>
          <w:color w:val="000000"/>
          <w:sz w:val="20"/>
          <w:szCs w:val="20"/>
          <w:lang w:eastAsia="cs-CZ"/>
        </w:rPr>
        <w:t>*** čistopis, včetně zapracování případných připomínek ze stavebního řízení a včetně soupisu prací, odsouhlasený objednatelem</w:t>
      </w:r>
    </w:p>
    <w:p w:rsidR="009C3B2E" w:rsidRPr="009C3B2E" w:rsidRDefault="009C3B2E" w:rsidP="009C3B2E">
      <w:pPr>
        <w:overflowPunct w:val="0"/>
        <w:autoSpaceDE w:val="0"/>
        <w:autoSpaceDN w:val="0"/>
        <w:adjustRightInd w:val="0"/>
        <w:spacing w:after="0"/>
        <w:textAlignment w:val="baseline"/>
        <w:rPr>
          <w:rFonts w:ascii="Arial" w:eastAsia="Times New Roman" w:hAnsi="Arial" w:cs="Arial"/>
          <w:sz w:val="20"/>
          <w:szCs w:val="20"/>
          <w:lang w:eastAsia="cs-CZ"/>
        </w:rPr>
      </w:pPr>
    </w:p>
    <w:p w:rsidR="009C3B2E" w:rsidRPr="009C3B2E" w:rsidRDefault="009C3B2E" w:rsidP="009C3B2E">
      <w:pPr>
        <w:overflowPunct w:val="0"/>
        <w:autoSpaceDE w:val="0"/>
        <w:autoSpaceDN w:val="0"/>
        <w:adjustRightInd w:val="0"/>
        <w:spacing w:after="0"/>
        <w:textAlignment w:val="baseline"/>
        <w:rPr>
          <w:rFonts w:ascii="Arial" w:eastAsia="Times New Roman" w:hAnsi="Arial" w:cs="Arial"/>
          <w:sz w:val="20"/>
          <w:szCs w:val="20"/>
          <w:lang w:eastAsia="cs-CZ"/>
        </w:rPr>
      </w:pPr>
    </w:p>
    <w:p w:rsidR="009C3B2E" w:rsidRPr="009C3B2E" w:rsidRDefault="009C3B2E" w:rsidP="009C3B2E">
      <w:pPr>
        <w:overflowPunct w:val="0"/>
        <w:autoSpaceDE w:val="0"/>
        <w:autoSpaceDN w:val="0"/>
        <w:adjustRightInd w:val="0"/>
        <w:spacing w:after="0"/>
        <w:textAlignment w:val="baseline"/>
        <w:rPr>
          <w:rFonts w:ascii="Arial" w:eastAsia="Times New Roman" w:hAnsi="Arial" w:cs="Arial"/>
          <w:sz w:val="20"/>
          <w:szCs w:val="20"/>
          <w:lang w:eastAsia="cs-CZ"/>
        </w:rPr>
      </w:pPr>
    </w:p>
    <w:p w:rsidR="00B545BC" w:rsidRPr="009C3B2E" w:rsidRDefault="00B545BC" w:rsidP="009C3B2E">
      <w:pPr>
        <w:jc w:val="both"/>
        <w:rPr>
          <w:rFonts w:ascii="Arial" w:hAnsi="Arial" w:cs="Arial"/>
          <w:b/>
          <w:sz w:val="20"/>
          <w:szCs w:val="20"/>
        </w:rPr>
      </w:pPr>
    </w:p>
    <w:sectPr w:rsidR="00B545BC" w:rsidRPr="009C3B2E" w:rsidSect="0034703B">
      <w:headerReference w:type="default" r:id="rId9"/>
      <w:footerReference w:type="default" r:id="rId10"/>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C9091A">
      <w:rPr>
        <w:rFonts w:ascii="Arial" w:hAnsi="Arial" w:cs="Arial"/>
        <w:b/>
        <w:noProof/>
        <w:sz w:val="16"/>
        <w:szCs w:val="16"/>
      </w:rPr>
      <w:t>7</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C9091A">
      <w:rPr>
        <w:rFonts w:ascii="Arial" w:hAnsi="Arial" w:cs="Arial"/>
        <w:b/>
        <w:noProof/>
        <w:sz w:val="16"/>
        <w:szCs w:val="16"/>
      </w:rPr>
      <w:t>7</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8"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0"/>
  </w:num>
  <w:num w:numId="4">
    <w:abstractNumId w:val="14"/>
  </w:num>
  <w:num w:numId="5">
    <w:abstractNumId w:val="10"/>
  </w:num>
  <w:num w:numId="6">
    <w:abstractNumId w:val="13"/>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3"/>
  </w:num>
  <w:num w:numId="15">
    <w:abstractNumId w:val="19"/>
  </w:num>
  <w:num w:numId="16">
    <w:abstractNumId w:val="2"/>
  </w:num>
  <w:num w:numId="17">
    <w:abstractNumId w:val="8"/>
  </w:num>
  <w:num w:numId="18">
    <w:abstractNumId w:val="24"/>
  </w:num>
  <w:num w:numId="19">
    <w:abstractNumId w:val="18"/>
  </w:num>
  <w:num w:numId="20">
    <w:abstractNumId w:val="16"/>
  </w:num>
  <w:num w:numId="21">
    <w:abstractNumId w:val="3"/>
  </w:num>
  <w:num w:numId="22">
    <w:abstractNumId w:val="20"/>
  </w:num>
  <w:num w:numId="23">
    <w:abstractNumId w:val="17"/>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1297C"/>
    <w:rsid w:val="00031B59"/>
    <w:rsid w:val="00032DF2"/>
    <w:rsid w:val="00033EC2"/>
    <w:rsid w:val="00077603"/>
    <w:rsid w:val="00091A0B"/>
    <w:rsid w:val="00105330"/>
    <w:rsid w:val="001310C6"/>
    <w:rsid w:val="00143858"/>
    <w:rsid w:val="00150F88"/>
    <w:rsid w:val="00153F4E"/>
    <w:rsid w:val="0016103B"/>
    <w:rsid w:val="001632A3"/>
    <w:rsid w:val="00167A1E"/>
    <w:rsid w:val="00172C17"/>
    <w:rsid w:val="00174D7F"/>
    <w:rsid w:val="001B46DA"/>
    <w:rsid w:val="001C3BF8"/>
    <w:rsid w:val="001C4EBD"/>
    <w:rsid w:val="001C5F54"/>
    <w:rsid w:val="001C7DD6"/>
    <w:rsid w:val="001E3591"/>
    <w:rsid w:val="001E3B69"/>
    <w:rsid w:val="001F1E8D"/>
    <w:rsid w:val="00201C8A"/>
    <w:rsid w:val="00206A81"/>
    <w:rsid w:val="00207AAA"/>
    <w:rsid w:val="0021028E"/>
    <w:rsid w:val="00227F69"/>
    <w:rsid w:val="00245CC3"/>
    <w:rsid w:val="0024717C"/>
    <w:rsid w:val="002505CD"/>
    <w:rsid w:val="002715B4"/>
    <w:rsid w:val="00272769"/>
    <w:rsid w:val="002819DD"/>
    <w:rsid w:val="00294439"/>
    <w:rsid w:val="002A2808"/>
    <w:rsid w:val="002A70F8"/>
    <w:rsid w:val="002C3FF4"/>
    <w:rsid w:val="002D116F"/>
    <w:rsid w:val="002D2AC8"/>
    <w:rsid w:val="003012C4"/>
    <w:rsid w:val="00315471"/>
    <w:rsid w:val="00317A3B"/>
    <w:rsid w:val="0032208A"/>
    <w:rsid w:val="00322187"/>
    <w:rsid w:val="00335791"/>
    <w:rsid w:val="0034703B"/>
    <w:rsid w:val="00355D64"/>
    <w:rsid w:val="003634A2"/>
    <w:rsid w:val="00395D4F"/>
    <w:rsid w:val="003A6635"/>
    <w:rsid w:val="003B523E"/>
    <w:rsid w:val="003C0016"/>
    <w:rsid w:val="003C5BC7"/>
    <w:rsid w:val="003D36F1"/>
    <w:rsid w:val="00405F21"/>
    <w:rsid w:val="00413BFA"/>
    <w:rsid w:val="004177E6"/>
    <w:rsid w:val="00433246"/>
    <w:rsid w:val="0043662A"/>
    <w:rsid w:val="00437E4E"/>
    <w:rsid w:val="00457474"/>
    <w:rsid w:val="0047400F"/>
    <w:rsid w:val="00487EB6"/>
    <w:rsid w:val="004B1D1B"/>
    <w:rsid w:val="004B2925"/>
    <w:rsid w:val="004B3A5B"/>
    <w:rsid w:val="004B4D66"/>
    <w:rsid w:val="004C2E7C"/>
    <w:rsid w:val="004C3D34"/>
    <w:rsid w:val="004E26C7"/>
    <w:rsid w:val="004F4618"/>
    <w:rsid w:val="005252AA"/>
    <w:rsid w:val="0052571B"/>
    <w:rsid w:val="005562DB"/>
    <w:rsid w:val="00575531"/>
    <w:rsid w:val="00580C51"/>
    <w:rsid w:val="005875BA"/>
    <w:rsid w:val="005A2999"/>
    <w:rsid w:val="005A3E25"/>
    <w:rsid w:val="005B1FC8"/>
    <w:rsid w:val="005E469A"/>
    <w:rsid w:val="005E59F4"/>
    <w:rsid w:val="005E65B7"/>
    <w:rsid w:val="00605337"/>
    <w:rsid w:val="0060692D"/>
    <w:rsid w:val="00627D75"/>
    <w:rsid w:val="00633927"/>
    <w:rsid w:val="00635E1D"/>
    <w:rsid w:val="00651DA9"/>
    <w:rsid w:val="00651F7A"/>
    <w:rsid w:val="00660B95"/>
    <w:rsid w:val="00683DAC"/>
    <w:rsid w:val="006916B1"/>
    <w:rsid w:val="006A0285"/>
    <w:rsid w:val="006A3AD9"/>
    <w:rsid w:val="006B7CDC"/>
    <w:rsid w:val="00723546"/>
    <w:rsid w:val="007349F9"/>
    <w:rsid w:val="007462B8"/>
    <w:rsid w:val="007524A0"/>
    <w:rsid w:val="00756EC0"/>
    <w:rsid w:val="0076591D"/>
    <w:rsid w:val="00771D72"/>
    <w:rsid w:val="00781C90"/>
    <w:rsid w:val="007908F6"/>
    <w:rsid w:val="00794F75"/>
    <w:rsid w:val="007D1374"/>
    <w:rsid w:val="007E6FEB"/>
    <w:rsid w:val="007F411D"/>
    <w:rsid w:val="007F463F"/>
    <w:rsid w:val="008023D2"/>
    <w:rsid w:val="00817C5F"/>
    <w:rsid w:val="008209FA"/>
    <w:rsid w:val="00836C76"/>
    <w:rsid w:val="00844B90"/>
    <w:rsid w:val="00847C98"/>
    <w:rsid w:val="0085017D"/>
    <w:rsid w:val="008661DA"/>
    <w:rsid w:val="008742AE"/>
    <w:rsid w:val="0088286F"/>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071"/>
    <w:rsid w:val="00972FC3"/>
    <w:rsid w:val="00981014"/>
    <w:rsid w:val="009B0C47"/>
    <w:rsid w:val="009B37C8"/>
    <w:rsid w:val="009C3B2E"/>
    <w:rsid w:val="009E174F"/>
    <w:rsid w:val="009E5449"/>
    <w:rsid w:val="00A02A92"/>
    <w:rsid w:val="00A02C1A"/>
    <w:rsid w:val="00A111D2"/>
    <w:rsid w:val="00A22581"/>
    <w:rsid w:val="00A258B6"/>
    <w:rsid w:val="00A333AD"/>
    <w:rsid w:val="00A44DF5"/>
    <w:rsid w:val="00A63D56"/>
    <w:rsid w:val="00A93CA0"/>
    <w:rsid w:val="00AA14FB"/>
    <w:rsid w:val="00AA21EC"/>
    <w:rsid w:val="00AA42F6"/>
    <w:rsid w:val="00AA667C"/>
    <w:rsid w:val="00AA76D7"/>
    <w:rsid w:val="00AB286A"/>
    <w:rsid w:val="00AC4AB1"/>
    <w:rsid w:val="00AE7DDA"/>
    <w:rsid w:val="00AF5D3F"/>
    <w:rsid w:val="00B0273E"/>
    <w:rsid w:val="00B31119"/>
    <w:rsid w:val="00B3596C"/>
    <w:rsid w:val="00B41130"/>
    <w:rsid w:val="00B4147B"/>
    <w:rsid w:val="00B4322A"/>
    <w:rsid w:val="00B44286"/>
    <w:rsid w:val="00B545BC"/>
    <w:rsid w:val="00B64492"/>
    <w:rsid w:val="00B72CB0"/>
    <w:rsid w:val="00BD08E8"/>
    <w:rsid w:val="00BD2DC3"/>
    <w:rsid w:val="00BE3B79"/>
    <w:rsid w:val="00BF4645"/>
    <w:rsid w:val="00C040A0"/>
    <w:rsid w:val="00C0508D"/>
    <w:rsid w:val="00C34F5B"/>
    <w:rsid w:val="00C52667"/>
    <w:rsid w:val="00C65520"/>
    <w:rsid w:val="00C9091A"/>
    <w:rsid w:val="00CB1CE3"/>
    <w:rsid w:val="00CF3EA0"/>
    <w:rsid w:val="00D1051F"/>
    <w:rsid w:val="00D21D1B"/>
    <w:rsid w:val="00D21DBE"/>
    <w:rsid w:val="00D24A4F"/>
    <w:rsid w:val="00D27F79"/>
    <w:rsid w:val="00D36F3C"/>
    <w:rsid w:val="00D55D6F"/>
    <w:rsid w:val="00D674D6"/>
    <w:rsid w:val="00D83014"/>
    <w:rsid w:val="00D9018D"/>
    <w:rsid w:val="00DA4DDF"/>
    <w:rsid w:val="00DA5742"/>
    <w:rsid w:val="00DB70B1"/>
    <w:rsid w:val="00DE107F"/>
    <w:rsid w:val="00DF3229"/>
    <w:rsid w:val="00E02F34"/>
    <w:rsid w:val="00E07484"/>
    <w:rsid w:val="00E12753"/>
    <w:rsid w:val="00E26473"/>
    <w:rsid w:val="00E336FE"/>
    <w:rsid w:val="00E36ADA"/>
    <w:rsid w:val="00E720EA"/>
    <w:rsid w:val="00EA03AD"/>
    <w:rsid w:val="00EC5DCC"/>
    <w:rsid w:val="00ED28F8"/>
    <w:rsid w:val="00ED43D1"/>
    <w:rsid w:val="00EE2E2A"/>
    <w:rsid w:val="00EE4017"/>
    <w:rsid w:val="00F06AAB"/>
    <w:rsid w:val="00F11900"/>
    <w:rsid w:val="00F154AE"/>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5E65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4.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33852-F92C-4714-950E-D87B57095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3274</Words>
  <Characters>19321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48</cp:revision>
  <cp:lastPrinted>2024-04-18T12:32:00Z</cp:lastPrinted>
  <dcterms:created xsi:type="dcterms:W3CDTF">2024-07-19T07:39:00Z</dcterms:created>
  <dcterms:modified xsi:type="dcterms:W3CDTF">2025-11-27T07:43:00Z</dcterms:modified>
</cp:coreProperties>
</file>